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F2BA" w14:textId="77777777" w:rsidR="00BC10DA" w:rsidRDefault="00BC10DA" w:rsidP="00BC10DA">
      <w:pPr>
        <w:rPr>
          <w:b/>
        </w:rPr>
      </w:pPr>
      <w:r>
        <w:rPr>
          <w:b/>
        </w:rPr>
        <w:t>Mirza Dedić</w:t>
      </w:r>
    </w:p>
    <w:p w14:paraId="7D9F8104" w14:textId="77777777" w:rsidR="00BC10DA" w:rsidRDefault="00BC10DA" w:rsidP="00BC10DA"/>
    <w:p w14:paraId="6B25602D" w14:textId="77777777" w:rsidR="00BC10DA" w:rsidRDefault="00BC10DA" w:rsidP="00BC10DA">
      <w:pPr>
        <w:rPr>
          <w:b/>
        </w:rPr>
      </w:pPr>
      <w:r>
        <w:rPr>
          <w:b/>
        </w:rPr>
        <w:t>Work  experience:</w:t>
      </w:r>
    </w:p>
    <w:p w14:paraId="13E78394" w14:textId="77777777" w:rsidR="00BC10DA" w:rsidRPr="005D6838" w:rsidRDefault="00BC10DA" w:rsidP="00BC10DA">
      <w:pPr>
        <w:numPr>
          <w:ilvl w:val="0"/>
          <w:numId w:val="2"/>
        </w:numPr>
        <w:pBdr>
          <w:top w:val="nil"/>
          <w:left w:val="nil"/>
          <w:bottom w:val="nil"/>
          <w:right w:val="nil"/>
          <w:between w:val="nil"/>
        </w:pBdr>
        <w:spacing w:after="0"/>
        <w:rPr>
          <w:color w:val="000000"/>
        </w:rPr>
      </w:pPr>
      <w:r w:rsidRPr="005D6838">
        <w:rPr>
          <w:color w:val="000000"/>
        </w:rPr>
        <w:t>2023</w:t>
      </w:r>
      <w:r w:rsidRPr="005D6838">
        <w:rPr>
          <w:rFonts w:cs="Arial"/>
        </w:rPr>
        <w:t xml:space="preserve">- Present </w:t>
      </w:r>
      <w:r>
        <w:rPr>
          <w:rFonts w:cs="Arial"/>
        </w:rPr>
        <w:t xml:space="preserve">- </w:t>
      </w:r>
      <w:r w:rsidRPr="005D6838">
        <w:rPr>
          <w:color w:val="000000"/>
        </w:rPr>
        <w:t>Associate professor</w:t>
      </w:r>
    </w:p>
    <w:p w14:paraId="33AF8787" w14:textId="77777777" w:rsidR="00BC10DA" w:rsidRPr="005D6838" w:rsidRDefault="00BC10DA" w:rsidP="00BC10DA">
      <w:pPr>
        <w:pBdr>
          <w:top w:val="nil"/>
          <w:left w:val="nil"/>
          <w:bottom w:val="nil"/>
          <w:right w:val="nil"/>
          <w:between w:val="nil"/>
        </w:pBdr>
        <w:spacing w:after="0"/>
        <w:ind w:left="720" w:hanging="720"/>
        <w:rPr>
          <w:color w:val="000000"/>
        </w:rPr>
      </w:pPr>
      <w:r w:rsidRPr="005D6838">
        <w:rPr>
          <w:color w:val="000000"/>
        </w:rPr>
        <w:t>Department of Drug Analytics</w:t>
      </w:r>
    </w:p>
    <w:p w14:paraId="6FEF19CF" w14:textId="77777777" w:rsidR="00BC10DA" w:rsidRPr="005D6838" w:rsidRDefault="00BC10DA" w:rsidP="00BC10DA">
      <w:pPr>
        <w:pBdr>
          <w:top w:val="nil"/>
          <w:left w:val="nil"/>
          <w:bottom w:val="nil"/>
          <w:right w:val="nil"/>
          <w:between w:val="nil"/>
        </w:pBdr>
        <w:spacing w:after="0"/>
        <w:ind w:left="720" w:hanging="720"/>
        <w:rPr>
          <w:color w:val="000000"/>
        </w:rPr>
      </w:pPr>
      <w:r w:rsidRPr="005D6838">
        <w:rPr>
          <w:color w:val="000000"/>
        </w:rPr>
        <w:t>University of Sarajevo - Faculty of Pharmacy</w:t>
      </w:r>
    </w:p>
    <w:p w14:paraId="42BE1D40" w14:textId="77777777" w:rsidR="00BC10DA" w:rsidRDefault="00BC10DA" w:rsidP="00BC10DA">
      <w:pPr>
        <w:numPr>
          <w:ilvl w:val="0"/>
          <w:numId w:val="2"/>
        </w:numPr>
        <w:pBdr>
          <w:top w:val="nil"/>
          <w:left w:val="nil"/>
          <w:bottom w:val="nil"/>
          <w:right w:val="nil"/>
          <w:between w:val="nil"/>
        </w:pBdr>
        <w:spacing w:after="0"/>
      </w:pPr>
      <w:r>
        <w:rPr>
          <w:color w:val="000000"/>
        </w:rPr>
        <w:t>2018. Assistant Professor</w:t>
      </w:r>
    </w:p>
    <w:p w14:paraId="1274EE41" w14:textId="77777777" w:rsidR="00BC10DA" w:rsidRDefault="00BC10DA" w:rsidP="00BC10DA">
      <w:pPr>
        <w:pBdr>
          <w:top w:val="nil"/>
          <w:left w:val="nil"/>
          <w:bottom w:val="nil"/>
          <w:right w:val="nil"/>
          <w:between w:val="nil"/>
        </w:pBdr>
        <w:spacing w:after="0"/>
        <w:ind w:left="720" w:hanging="720"/>
        <w:rPr>
          <w:color w:val="000000"/>
        </w:rPr>
      </w:pPr>
      <w:bookmarkStart w:id="0" w:name="_gjdgxs" w:colFirst="0" w:colLast="0"/>
      <w:bookmarkEnd w:id="0"/>
      <w:r>
        <w:rPr>
          <w:color w:val="000000"/>
        </w:rPr>
        <w:t>Department of Pharmaceutical Analysis.</w:t>
      </w:r>
    </w:p>
    <w:p w14:paraId="2AE4EA76" w14:textId="77777777" w:rsidR="00BC10DA" w:rsidRDefault="00BC10DA" w:rsidP="00BC10DA">
      <w:pPr>
        <w:pBdr>
          <w:top w:val="nil"/>
          <w:left w:val="nil"/>
          <w:bottom w:val="nil"/>
          <w:right w:val="nil"/>
          <w:between w:val="nil"/>
        </w:pBdr>
        <w:spacing w:after="0"/>
        <w:ind w:left="720" w:hanging="720"/>
        <w:rPr>
          <w:color w:val="000000"/>
        </w:rPr>
      </w:pPr>
      <w:r>
        <w:rPr>
          <w:color w:val="000000"/>
        </w:rPr>
        <w:t>University of Sarajevo, Faculty of Pharmacy</w:t>
      </w:r>
    </w:p>
    <w:p w14:paraId="2B038936" w14:textId="77777777" w:rsidR="00BC10DA" w:rsidRDefault="00BC10DA" w:rsidP="00BC10DA">
      <w:pPr>
        <w:numPr>
          <w:ilvl w:val="0"/>
          <w:numId w:val="2"/>
        </w:numPr>
        <w:pBdr>
          <w:top w:val="nil"/>
          <w:left w:val="nil"/>
          <w:bottom w:val="nil"/>
          <w:right w:val="nil"/>
          <w:between w:val="nil"/>
        </w:pBdr>
        <w:spacing w:after="0"/>
      </w:pPr>
      <w:r>
        <w:rPr>
          <w:color w:val="000000"/>
        </w:rPr>
        <w:t>2013. Senior Teaching and Research Assistant</w:t>
      </w:r>
    </w:p>
    <w:p w14:paraId="41B39603" w14:textId="77777777" w:rsidR="00BC10DA" w:rsidRDefault="00BC10DA" w:rsidP="00BC10DA">
      <w:pPr>
        <w:pBdr>
          <w:top w:val="nil"/>
          <w:left w:val="nil"/>
          <w:bottom w:val="nil"/>
          <w:right w:val="nil"/>
          <w:between w:val="nil"/>
        </w:pBdr>
        <w:spacing w:after="0"/>
        <w:ind w:left="720" w:hanging="720"/>
        <w:rPr>
          <w:color w:val="000000"/>
        </w:rPr>
      </w:pPr>
      <w:r>
        <w:rPr>
          <w:color w:val="000000"/>
        </w:rPr>
        <w:t xml:space="preserve">Department of Pharmaceutical Analysis </w:t>
      </w:r>
    </w:p>
    <w:p w14:paraId="218ED02D" w14:textId="77777777" w:rsidR="00BC10DA" w:rsidRDefault="00BC10DA" w:rsidP="00BC10DA">
      <w:pPr>
        <w:pBdr>
          <w:top w:val="nil"/>
          <w:left w:val="nil"/>
          <w:bottom w:val="nil"/>
          <w:right w:val="nil"/>
          <w:between w:val="nil"/>
        </w:pBdr>
        <w:spacing w:after="0"/>
        <w:ind w:left="720" w:hanging="720"/>
        <w:rPr>
          <w:color w:val="000000"/>
        </w:rPr>
      </w:pPr>
      <w:r>
        <w:rPr>
          <w:color w:val="000000"/>
        </w:rPr>
        <w:t>University of Sarajevo, Faculty of Pharmacy</w:t>
      </w:r>
    </w:p>
    <w:p w14:paraId="7ED51514" w14:textId="77777777" w:rsidR="00BC10DA" w:rsidRDefault="00BC10DA" w:rsidP="00BC10DA">
      <w:pPr>
        <w:numPr>
          <w:ilvl w:val="0"/>
          <w:numId w:val="2"/>
        </w:numPr>
        <w:pBdr>
          <w:top w:val="nil"/>
          <w:left w:val="nil"/>
          <w:bottom w:val="nil"/>
          <w:right w:val="nil"/>
          <w:between w:val="nil"/>
        </w:pBdr>
        <w:spacing w:after="0"/>
      </w:pPr>
      <w:r>
        <w:rPr>
          <w:color w:val="000000"/>
        </w:rPr>
        <w:t>2008. Teaching Assistant</w:t>
      </w:r>
    </w:p>
    <w:p w14:paraId="4F968C16" w14:textId="77777777" w:rsidR="00BC10DA" w:rsidRDefault="00BC10DA" w:rsidP="00BC10DA">
      <w:pPr>
        <w:pBdr>
          <w:top w:val="nil"/>
          <w:left w:val="nil"/>
          <w:bottom w:val="nil"/>
          <w:right w:val="nil"/>
          <w:between w:val="nil"/>
        </w:pBdr>
        <w:spacing w:after="0"/>
        <w:ind w:left="720" w:hanging="720"/>
        <w:rPr>
          <w:color w:val="000000"/>
        </w:rPr>
      </w:pPr>
      <w:r>
        <w:rPr>
          <w:color w:val="000000"/>
        </w:rPr>
        <w:t xml:space="preserve">Department of Pharmaceutical Analysis </w:t>
      </w:r>
    </w:p>
    <w:p w14:paraId="5D891084" w14:textId="77777777" w:rsidR="00BC10DA" w:rsidRDefault="00BC10DA" w:rsidP="00BC10DA">
      <w:pPr>
        <w:pBdr>
          <w:top w:val="nil"/>
          <w:left w:val="nil"/>
          <w:bottom w:val="nil"/>
          <w:right w:val="nil"/>
          <w:between w:val="nil"/>
        </w:pBdr>
        <w:ind w:left="720" w:hanging="720"/>
        <w:rPr>
          <w:color w:val="000000"/>
        </w:rPr>
      </w:pPr>
      <w:r>
        <w:rPr>
          <w:color w:val="000000"/>
        </w:rPr>
        <w:t>University of Sarajevo, Faculty of Pharmacy</w:t>
      </w:r>
    </w:p>
    <w:p w14:paraId="6E4B80B3" w14:textId="77777777" w:rsidR="00BC10DA" w:rsidRDefault="00BC10DA" w:rsidP="00BC10DA">
      <w:pPr>
        <w:rPr>
          <w:b/>
        </w:rPr>
      </w:pPr>
      <w:r>
        <w:rPr>
          <w:b/>
        </w:rPr>
        <w:t xml:space="preserve">Education: </w:t>
      </w:r>
    </w:p>
    <w:p w14:paraId="619550AE" w14:textId="77777777" w:rsidR="00BC10DA" w:rsidRDefault="00BC10DA" w:rsidP="00BC10DA">
      <w:pPr>
        <w:numPr>
          <w:ilvl w:val="0"/>
          <w:numId w:val="2"/>
        </w:numPr>
        <w:pBdr>
          <w:top w:val="nil"/>
          <w:left w:val="nil"/>
          <w:bottom w:val="nil"/>
          <w:right w:val="nil"/>
          <w:between w:val="nil"/>
        </w:pBdr>
        <w:spacing w:after="0"/>
      </w:pPr>
      <w:r>
        <w:rPr>
          <w:color w:val="000000"/>
        </w:rPr>
        <w:t>2018. PhD</w:t>
      </w:r>
    </w:p>
    <w:p w14:paraId="38451494" w14:textId="77777777" w:rsidR="00BC10DA" w:rsidRDefault="00BC10DA" w:rsidP="00BC10DA">
      <w:pPr>
        <w:pBdr>
          <w:top w:val="nil"/>
          <w:left w:val="nil"/>
          <w:bottom w:val="nil"/>
          <w:right w:val="nil"/>
          <w:between w:val="nil"/>
        </w:pBdr>
        <w:spacing w:after="0"/>
        <w:ind w:left="720" w:hanging="720"/>
        <w:rPr>
          <w:color w:val="000000"/>
        </w:rPr>
      </w:pPr>
      <w:r>
        <w:rPr>
          <w:color w:val="000000"/>
        </w:rPr>
        <w:t>Doctoral dissertaion: „Determination of residual antibiotics in different types of honey in Bosnia and Herzegovina“</w:t>
      </w:r>
    </w:p>
    <w:p w14:paraId="4D3344C9" w14:textId="77777777" w:rsidR="00BC10DA" w:rsidRDefault="00BC10DA" w:rsidP="00BC10DA">
      <w:pPr>
        <w:pBdr>
          <w:top w:val="nil"/>
          <w:left w:val="nil"/>
          <w:bottom w:val="nil"/>
          <w:right w:val="nil"/>
          <w:between w:val="nil"/>
        </w:pBdr>
        <w:spacing w:after="0"/>
        <w:ind w:left="720" w:hanging="720"/>
        <w:rPr>
          <w:color w:val="000000"/>
        </w:rPr>
      </w:pPr>
      <w:r>
        <w:rPr>
          <w:color w:val="000000"/>
        </w:rPr>
        <w:t>University of Sarajevo, Faculty of Pharmacy</w:t>
      </w:r>
    </w:p>
    <w:p w14:paraId="42E2B6C0" w14:textId="77777777" w:rsidR="00BC10DA" w:rsidRDefault="00BC10DA" w:rsidP="00BC10DA">
      <w:pPr>
        <w:pBdr>
          <w:top w:val="nil"/>
          <w:left w:val="nil"/>
          <w:bottom w:val="nil"/>
          <w:right w:val="nil"/>
          <w:between w:val="nil"/>
        </w:pBdr>
        <w:spacing w:after="0"/>
        <w:ind w:left="720" w:hanging="720"/>
        <w:rPr>
          <w:color w:val="000000"/>
        </w:rPr>
      </w:pPr>
    </w:p>
    <w:p w14:paraId="0E89B487" w14:textId="77777777" w:rsidR="00BC10DA" w:rsidRDefault="00BC10DA" w:rsidP="00BC10DA">
      <w:pPr>
        <w:numPr>
          <w:ilvl w:val="0"/>
          <w:numId w:val="2"/>
        </w:numPr>
        <w:pBdr>
          <w:top w:val="nil"/>
          <w:left w:val="nil"/>
          <w:bottom w:val="nil"/>
          <w:right w:val="nil"/>
          <w:between w:val="nil"/>
        </w:pBdr>
        <w:spacing w:after="0"/>
      </w:pPr>
      <w:r>
        <w:rPr>
          <w:color w:val="000000"/>
        </w:rPr>
        <w:t>Specialist in Analysis and Quality Control of Medicines</w:t>
      </w:r>
    </w:p>
    <w:p w14:paraId="53DF4B2D" w14:textId="77777777" w:rsidR="00BC10DA" w:rsidRDefault="00BC10DA" w:rsidP="00BC10DA">
      <w:pPr>
        <w:pBdr>
          <w:top w:val="nil"/>
          <w:left w:val="nil"/>
          <w:bottom w:val="nil"/>
          <w:right w:val="nil"/>
          <w:between w:val="nil"/>
        </w:pBdr>
        <w:spacing w:after="0"/>
        <w:ind w:left="720" w:hanging="720"/>
        <w:rPr>
          <w:color w:val="000000"/>
        </w:rPr>
      </w:pPr>
      <w:r>
        <w:rPr>
          <w:color w:val="000000"/>
        </w:rPr>
        <w:t>Theme: Quality control of the topical 1% clindamycin during the application period.</w:t>
      </w:r>
    </w:p>
    <w:p w14:paraId="3853D6AA" w14:textId="77777777" w:rsidR="00BC10DA" w:rsidRDefault="00BC10DA" w:rsidP="00BC10DA">
      <w:pPr>
        <w:pBdr>
          <w:top w:val="nil"/>
          <w:left w:val="nil"/>
          <w:bottom w:val="nil"/>
          <w:right w:val="nil"/>
          <w:between w:val="nil"/>
        </w:pBdr>
        <w:spacing w:after="0"/>
        <w:ind w:left="720" w:hanging="720"/>
        <w:rPr>
          <w:color w:val="000000"/>
        </w:rPr>
      </w:pPr>
      <w:r>
        <w:rPr>
          <w:color w:val="000000"/>
        </w:rPr>
        <w:t>University of Sarajevo, Faculty of Pharmacy</w:t>
      </w:r>
    </w:p>
    <w:p w14:paraId="035EFF05" w14:textId="77777777" w:rsidR="00BC10DA" w:rsidRDefault="00BC10DA" w:rsidP="00BC10DA">
      <w:pPr>
        <w:pBdr>
          <w:top w:val="nil"/>
          <w:left w:val="nil"/>
          <w:bottom w:val="nil"/>
          <w:right w:val="nil"/>
          <w:between w:val="nil"/>
        </w:pBdr>
        <w:spacing w:after="0"/>
        <w:ind w:left="720" w:hanging="720"/>
        <w:rPr>
          <w:color w:val="000000"/>
        </w:rPr>
      </w:pPr>
    </w:p>
    <w:p w14:paraId="6E6A0C53" w14:textId="77777777" w:rsidR="00BC10DA" w:rsidRDefault="00BC10DA" w:rsidP="00BC10DA">
      <w:pPr>
        <w:numPr>
          <w:ilvl w:val="0"/>
          <w:numId w:val="2"/>
        </w:numPr>
        <w:pBdr>
          <w:top w:val="nil"/>
          <w:left w:val="nil"/>
          <w:bottom w:val="nil"/>
          <w:right w:val="nil"/>
          <w:between w:val="nil"/>
        </w:pBdr>
        <w:spacing w:after="0"/>
      </w:pPr>
      <w:r>
        <w:rPr>
          <w:color w:val="000000"/>
        </w:rPr>
        <w:t>2013. M. Sci</w:t>
      </w:r>
    </w:p>
    <w:p w14:paraId="7567BE1E" w14:textId="77777777" w:rsidR="00BC10DA" w:rsidRDefault="00BC10DA" w:rsidP="00BC10DA">
      <w:pPr>
        <w:pBdr>
          <w:top w:val="nil"/>
          <w:left w:val="nil"/>
          <w:bottom w:val="nil"/>
          <w:right w:val="nil"/>
          <w:between w:val="nil"/>
        </w:pBdr>
        <w:spacing w:after="0"/>
        <w:ind w:left="720" w:hanging="720"/>
        <w:rPr>
          <w:color w:val="000000"/>
        </w:rPr>
      </w:pPr>
      <w:r>
        <w:rPr>
          <w:color w:val="000000"/>
        </w:rPr>
        <w:t xml:space="preserve">Theme: Determination of thymol, carvacrol and primulasaponin in herbal syrups </w:t>
      </w:r>
    </w:p>
    <w:p w14:paraId="27F56961" w14:textId="77777777" w:rsidR="00BC10DA" w:rsidRDefault="00BC10DA" w:rsidP="00BC10DA">
      <w:pPr>
        <w:pBdr>
          <w:top w:val="nil"/>
          <w:left w:val="nil"/>
          <w:bottom w:val="nil"/>
          <w:right w:val="nil"/>
          <w:between w:val="nil"/>
        </w:pBdr>
        <w:spacing w:after="0"/>
        <w:ind w:left="720" w:hanging="720"/>
        <w:rPr>
          <w:color w:val="000000"/>
        </w:rPr>
      </w:pPr>
      <w:r>
        <w:rPr>
          <w:color w:val="000000"/>
        </w:rPr>
        <w:t>University of Sarajevo, Faculty of Pharmacy</w:t>
      </w:r>
    </w:p>
    <w:p w14:paraId="0CD8780C" w14:textId="77777777" w:rsidR="00BC10DA" w:rsidRDefault="00BC10DA" w:rsidP="00BC10DA">
      <w:pPr>
        <w:pBdr>
          <w:top w:val="nil"/>
          <w:left w:val="nil"/>
          <w:bottom w:val="nil"/>
          <w:right w:val="nil"/>
          <w:between w:val="nil"/>
        </w:pBdr>
        <w:spacing w:after="0"/>
        <w:ind w:left="720" w:hanging="720"/>
        <w:rPr>
          <w:color w:val="000000"/>
        </w:rPr>
      </w:pPr>
    </w:p>
    <w:p w14:paraId="6782149C" w14:textId="77777777" w:rsidR="00BC10DA" w:rsidRDefault="00BC10DA" w:rsidP="00BC10DA">
      <w:pPr>
        <w:numPr>
          <w:ilvl w:val="0"/>
          <w:numId w:val="2"/>
        </w:numPr>
        <w:pBdr>
          <w:top w:val="nil"/>
          <w:left w:val="nil"/>
          <w:bottom w:val="nil"/>
          <w:right w:val="nil"/>
          <w:between w:val="nil"/>
        </w:pBdr>
        <w:spacing w:after="0"/>
      </w:pPr>
      <w:r>
        <w:rPr>
          <w:color w:val="000000"/>
        </w:rPr>
        <w:t>2007. MPharm- GPA – 8.60</w:t>
      </w:r>
    </w:p>
    <w:p w14:paraId="045DA3FB" w14:textId="77777777" w:rsidR="00BC10DA" w:rsidRDefault="00BC10DA" w:rsidP="00BC10DA">
      <w:pPr>
        <w:pBdr>
          <w:top w:val="nil"/>
          <w:left w:val="nil"/>
          <w:bottom w:val="nil"/>
          <w:right w:val="nil"/>
          <w:between w:val="nil"/>
        </w:pBdr>
        <w:spacing w:after="0"/>
        <w:ind w:left="720" w:hanging="720"/>
        <w:rPr>
          <w:color w:val="000000"/>
        </w:rPr>
      </w:pPr>
      <w:r>
        <w:rPr>
          <w:color w:val="000000"/>
        </w:rPr>
        <w:t>Theme: Cellulose and derivatives of cellulose in development solid pharmaceutical form.</w:t>
      </w:r>
    </w:p>
    <w:p w14:paraId="1768789A" w14:textId="77777777" w:rsidR="00BC10DA" w:rsidRDefault="00BC10DA" w:rsidP="00BC10DA">
      <w:pPr>
        <w:pBdr>
          <w:top w:val="nil"/>
          <w:left w:val="nil"/>
          <w:bottom w:val="nil"/>
          <w:right w:val="nil"/>
          <w:between w:val="nil"/>
        </w:pBdr>
        <w:spacing w:after="0"/>
        <w:ind w:left="720" w:hanging="720"/>
        <w:rPr>
          <w:color w:val="000000"/>
        </w:rPr>
      </w:pPr>
      <w:r>
        <w:rPr>
          <w:color w:val="000000"/>
        </w:rPr>
        <w:t>University of Sarajevo, Faculty of Pharmacy</w:t>
      </w:r>
    </w:p>
    <w:p w14:paraId="1DE76A10" w14:textId="77777777" w:rsidR="00BC10DA" w:rsidRDefault="00BC10DA" w:rsidP="00BC10DA"/>
    <w:p w14:paraId="51DCB18B" w14:textId="77777777" w:rsidR="00BC10DA" w:rsidRDefault="00BC10DA" w:rsidP="00BC10DA">
      <w:pPr>
        <w:rPr>
          <w:b/>
        </w:rPr>
      </w:pPr>
      <w:r>
        <w:rPr>
          <w:b/>
        </w:rPr>
        <w:t xml:space="preserve">Academic/teaching work: </w:t>
      </w:r>
    </w:p>
    <w:p w14:paraId="1A93F126" w14:textId="77777777" w:rsidR="00BC10DA" w:rsidRDefault="00BC10DA" w:rsidP="00BC10DA">
      <w:pPr>
        <w:numPr>
          <w:ilvl w:val="0"/>
          <w:numId w:val="2"/>
        </w:numPr>
        <w:pBdr>
          <w:top w:val="nil"/>
          <w:left w:val="nil"/>
          <w:bottom w:val="nil"/>
          <w:right w:val="nil"/>
          <w:between w:val="nil"/>
        </w:pBdr>
        <w:jc w:val="both"/>
      </w:pPr>
      <w:bookmarkStart w:id="1" w:name="_30j0zll" w:colFirst="0" w:colLast="0"/>
      <w:bookmarkEnd w:id="1"/>
      <w:r>
        <w:rPr>
          <w:color w:val="000000"/>
        </w:rPr>
        <w:t xml:space="preserve">Participates in practical and theoretical teaching in Integrated study of 1st and 2nd cycles in: compulsory courses "Quality Control of Medicines I" and " Quality Control of Medicines II", as well as elective courses: "Selected Topics in Quality Control of Medicines - Good Control Laboratory Practice" "Selected Topics in Quality Control of Medicines - Impurities in Medicines" "Selected Topics in Quality Control of Medicines – Quality Control of Borderline Medicinal Products". </w:t>
      </w:r>
    </w:p>
    <w:p w14:paraId="3896F581" w14:textId="77777777" w:rsidR="00BC10DA" w:rsidRDefault="00BC10DA" w:rsidP="00BC10DA">
      <w:pPr>
        <w:pBdr>
          <w:top w:val="nil"/>
          <w:left w:val="nil"/>
          <w:bottom w:val="nil"/>
          <w:right w:val="nil"/>
          <w:between w:val="nil"/>
        </w:pBdr>
        <w:spacing w:after="0" w:line="240" w:lineRule="auto"/>
        <w:rPr>
          <w:b/>
          <w:color w:val="000000"/>
        </w:rPr>
      </w:pPr>
      <w:r>
        <w:rPr>
          <w:b/>
          <w:color w:val="000000"/>
        </w:rPr>
        <w:lastRenderedPageBreak/>
        <w:t>Other academic positions and involments:</w:t>
      </w:r>
    </w:p>
    <w:p w14:paraId="12552045" w14:textId="77777777" w:rsidR="00BC10DA" w:rsidRDefault="00BC10DA" w:rsidP="00BC10DA">
      <w:pPr>
        <w:pBdr>
          <w:top w:val="nil"/>
          <w:left w:val="nil"/>
          <w:bottom w:val="nil"/>
          <w:right w:val="nil"/>
          <w:between w:val="nil"/>
        </w:pBdr>
        <w:spacing w:after="0" w:line="240" w:lineRule="auto"/>
        <w:rPr>
          <w:b/>
          <w:color w:val="000000"/>
        </w:rPr>
      </w:pPr>
    </w:p>
    <w:p w14:paraId="66C3B8B4" w14:textId="77777777" w:rsidR="00BC10DA" w:rsidRPr="005D6838" w:rsidRDefault="00BC10DA" w:rsidP="00BC10DA">
      <w:pPr>
        <w:numPr>
          <w:ilvl w:val="0"/>
          <w:numId w:val="2"/>
        </w:numPr>
        <w:pBdr>
          <w:top w:val="nil"/>
          <w:left w:val="nil"/>
          <w:bottom w:val="nil"/>
          <w:right w:val="nil"/>
          <w:between w:val="nil"/>
        </w:pBdr>
        <w:spacing w:after="0"/>
        <w:rPr>
          <w:color w:val="000000"/>
        </w:rPr>
      </w:pPr>
      <w:r w:rsidRPr="007F6F43">
        <w:rPr>
          <w:rFonts w:cs="Arial"/>
        </w:rPr>
        <w:t>2022-</w:t>
      </w:r>
      <w:r>
        <w:rPr>
          <w:rFonts w:cs="Arial"/>
        </w:rPr>
        <w:t xml:space="preserve"> Present - </w:t>
      </w:r>
      <w:r w:rsidRPr="00E75549">
        <w:t>Vice Dean for Teaching and Student Affairs</w:t>
      </w:r>
    </w:p>
    <w:p w14:paraId="7D91AFB9" w14:textId="77777777" w:rsidR="00BC10DA" w:rsidRPr="00973C3A" w:rsidRDefault="00BC10DA" w:rsidP="00BC10DA">
      <w:pPr>
        <w:numPr>
          <w:ilvl w:val="0"/>
          <w:numId w:val="2"/>
        </w:numPr>
        <w:pBdr>
          <w:top w:val="nil"/>
          <w:left w:val="nil"/>
          <w:bottom w:val="nil"/>
          <w:right w:val="nil"/>
          <w:between w:val="nil"/>
        </w:pBdr>
        <w:spacing w:after="0"/>
        <w:rPr>
          <w:color w:val="000000"/>
        </w:rPr>
      </w:pPr>
      <w:r w:rsidRPr="007F6F43">
        <w:rPr>
          <w:rFonts w:cs="Arial"/>
        </w:rPr>
        <w:t>2020-</w:t>
      </w:r>
      <w:r>
        <w:rPr>
          <w:rFonts w:cs="Arial"/>
        </w:rPr>
        <w:t xml:space="preserve"> Present -</w:t>
      </w:r>
      <w:r w:rsidRPr="005D6838">
        <w:t xml:space="preserve"> </w:t>
      </w:r>
      <w:r w:rsidRPr="00E75549">
        <w:t>Local CEEPUS coordinator</w:t>
      </w:r>
    </w:p>
    <w:p w14:paraId="590F4058" w14:textId="77777777" w:rsidR="00BC10DA" w:rsidRDefault="00BC10DA" w:rsidP="00BC10DA">
      <w:pPr>
        <w:numPr>
          <w:ilvl w:val="1"/>
          <w:numId w:val="2"/>
        </w:numPr>
        <w:pBdr>
          <w:top w:val="nil"/>
          <w:left w:val="nil"/>
          <w:bottom w:val="nil"/>
          <w:right w:val="nil"/>
          <w:between w:val="nil"/>
        </w:pBdr>
        <w:spacing w:after="0"/>
        <w:rPr>
          <w:color w:val="000000"/>
        </w:rPr>
      </w:pPr>
      <w:r>
        <w:rPr>
          <w:rFonts w:cs="Arial"/>
        </w:rPr>
        <w:t>Network</w:t>
      </w:r>
      <w:r w:rsidRPr="007F6F43">
        <w:rPr>
          <w:rFonts w:cs="Arial"/>
        </w:rPr>
        <w:t>: "Education of Modern Analytical and Bioanalytical Methods" (</w:t>
      </w:r>
      <w:r>
        <w:rPr>
          <w:rFonts w:cs="Arial"/>
        </w:rPr>
        <w:t>No</w:t>
      </w:r>
      <w:r w:rsidRPr="007F6F43">
        <w:rPr>
          <w:rFonts w:cs="Arial"/>
        </w:rPr>
        <w:t>: CIII-CZ-0212-14-2021)</w:t>
      </w:r>
    </w:p>
    <w:p w14:paraId="39245ECA" w14:textId="77777777" w:rsidR="00BC10DA" w:rsidRDefault="00BC10DA" w:rsidP="00BC10DA">
      <w:pPr>
        <w:numPr>
          <w:ilvl w:val="0"/>
          <w:numId w:val="3"/>
        </w:numPr>
        <w:pBdr>
          <w:top w:val="nil"/>
          <w:left w:val="nil"/>
          <w:bottom w:val="nil"/>
          <w:right w:val="nil"/>
          <w:between w:val="nil"/>
        </w:pBdr>
        <w:spacing w:after="68" w:line="240" w:lineRule="auto"/>
        <w:rPr>
          <w:color w:val="000000"/>
        </w:rPr>
      </w:pPr>
      <w:r>
        <w:rPr>
          <w:color w:val="000000"/>
        </w:rPr>
        <w:t xml:space="preserve">2019- </w:t>
      </w:r>
      <w:r>
        <w:t>2021</w:t>
      </w:r>
      <w:r>
        <w:rPr>
          <w:color w:val="000000"/>
        </w:rPr>
        <w:t>: Head of department of Pharmaceutical informatics and pharmacoeconomics.</w:t>
      </w:r>
    </w:p>
    <w:p w14:paraId="435537A9" w14:textId="77777777" w:rsidR="00BC10DA" w:rsidRDefault="00BC10DA" w:rsidP="00BC10DA">
      <w:pPr>
        <w:pBdr>
          <w:top w:val="nil"/>
          <w:left w:val="nil"/>
          <w:bottom w:val="nil"/>
          <w:right w:val="nil"/>
          <w:between w:val="nil"/>
        </w:pBdr>
        <w:spacing w:after="68" w:line="240" w:lineRule="auto"/>
        <w:rPr>
          <w:color w:val="000000"/>
        </w:rPr>
      </w:pPr>
    </w:p>
    <w:p w14:paraId="374524CA" w14:textId="77777777" w:rsidR="00BC10DA" w:rsidRDefault="00BC10DA" w:rsidP="00BC10DA">
      <w:pPr>
        <w:pBdr>
          <w:top w:val="nil"/>
          <w:left w:val="nil"/>
          <w:bottom w:val="nil"/>
          <w:right w:val="nil"/>
          <w:between w:val="nil"/>
        </w:pBdr>
        <w:spacing w:after="68" w:line="240" w:lineRule="auto"/>
        <w:rPr>
          <w:b/>
          <w:color w:val="000000"/>
        </w:rPr>
      </w:pPr>
      <w:r>
        <w:rPr>
          <w:b/>
          <w:color w:val="000000"/>
        </w:rPr>
        <w:t xml:space="preserve">Projects: </w:t>
      </w:r>
    </w:p>
    <w:p w14:paraId="72A11D6A" w14:textId="77777777" w:rsidR="00BC10DA" w:rsidRPr="00E9407A" w:rsidRDefault="00BC10DA" w:rsidP="00BC10DA">
      <w:pPr>
        <w:pStyle w:val="ECVSectionDetails"/>
        <w:numPr>
          <w:ilvl w:val="0"/>
          <w:numId w:val="4"/>
        </w:numPr>
        <w:ind w:left="709"/>
        <w:rPr>
          <w:rFonts w:ascii="Calibri" w:eastAsia="Calibri" w:hAnsi="Calibri" w:cs="Calibri"/>
          <w:color w:val="000000"/>
          <w:spacing w:val="0"/>
          <w:kern w:val="0"/>
          <w:sz w:val="22"/>
          <w:szCs w:val="22"/>
          <w:lang w:val="bs-Latn-BA" w:eastAsia="bs-Latn-BA" w:bidi="ar-SA"/>
        </w:rPr>
      </w:pPr>
      <w:bookmarkStart w:id="2" w:name="_Hlk114254239"/>
      <w:r w:rsidRPr="00E9407A">
        <w:rPr>
          <w:rFonts w:ascii="Calibri" w:eastAsia="Calibri" w:hAnsi="Calibri" w:cs="Calibri"/>
          <w:color w:val="000000"/>
          <w:spacing w:val="0"/>
          <w:kern w:val="0"/>
          <w:sz w:val="22"/>
          <w:szCs w:val="22"/>
          <w:lang w:val="bs-Latn-BA" w:eastAsia="bs-Latn-BA" w:bidi="ar-SA"/>
        </w:rPr>
        <w:t>01/10/2022– 31/12/2023. (In progress)</w:t>
      </w:r>
      <w:r>
        <w:rPr>
          <w:rFonts w:ascii="Calibri" w:eastAsia="Calibri" w:hAnsi="Calibri" w:cs="Calibri"/>
          <w:color w:val="000000"/>
          <w:spacing w:val="0"/>
          <w:kern w:val="0"/>
          <w:sz w:val="22"/>
          <w:szCs w:val="22"/>
          <w:lang w:val="bs-Latn-BA" w:eastAsia="bs-Latn-BA" w:bidi="ar-SA"/>
        </w:rPr>
        <w:t xml:space="preserve">. </w:t>
      </w:r>
      <w:r w:rsidRPr="00451373">
        <w:rPr>
          <w:rFonts w:ascii="Calibri" w:eastAsia="Calibri" w:hAnsi="Calibri" w:cs="Calibri"/>
          <w:i/>
          <w:iCs/>
          <w:color w:val="000000"/>
          <w:spacing w:val="0"/>
          <w:kern w:val="0"/>
          <w:sz w:val="22"/>
          <w:szCs w:val="22"/>
          <w:lang w:val="bs-Latn-BA" w:eastAsia="bs-Latn-BA" w:bidi="ar-SA"/>
        </w:rPr>
        <w:t>Virtual laboratories in the education of pharmacists. Collaborator on the project.</w:t>
      </w:r>
      <w:r w:rsidRPr="00E9407A">
        <w:rPr>
          <w:rFonts w:ascii="Calibri" w:eastAsia="Calibri" w:hAnsi="Calibri" w:cs="Calibri"/>
          <w:color w:val="000000"/>
          <w:spacing w:val="0"/>
          <w:kern w:val="0"/>
          <w:sz w:val="22"/>
          <w:szCs w:val="22"/>
          <w:lang w:val="bs-Latn-BA" w:eastAsia="bs-Latn-BA" w:bidi="ar-SA"/>
        </w:rPr>
        <w:t xml:space="preserve"> Project financed by the Ministry of Science, Higher Education and Youth of Sarajevo Canton. </w:t>
      </w:r>
    </w:p>
    <w:bookmarkEnd w:id="2"/>
    <w:p w14:paraId="29F26904" w14:textId="77777777" w:rsidR="00BC10DA" w:rsidRPr="00E9407A" w:rsidRDefault="00BC10DA" w:rsidP="00BC10DA">
      <w:pPr>
        <w:pStyle w:val="ECVSectionDetails"/>
        <w:numPr>
          <w:ilvl w:val="0"/>
          <w:numId w:val="4"/>
        </w:numPr>
        <w:ind w:left="709"/>
        <w:rPr>
          <w:rFonts w:ascii="Calibri" w:eastAsia="Calibri" w:hAnsi="Calibri" w:cs="Calibri"/>
          <w:color w:val="000000"/>
          <w:spacing w:val="0"/>
          <w:kern w:val="0"/>
          <w:sz w:val="22"/>
          <w:szCs w:val="22"/>
          <w:lang w:val="bs-Latn-BA" w:eastAsia="bs-Latn-BA" w:bidi="ar-SA"/>
        </w:rPr>
      </w:pPr>
      <w:r w:rsidRPr="00E9407A">
        <w:rPr>
          <w:rFonts w:ascii="Calibri" w:eastAsia="Calibri" w:hAnsi="Calibri" w:cs="Calibri"/>
          <w:color w:val="000000"/>
          <w:spacing w:val="0"/>
          <w:kern w:val="0"/>
          <w:sz w:val="22"/>
          <w:szCs w:val="22"/>
          <w:lang w:val="bs-Latn-BA" w:eastAsia="bs-Latn-BA" w:bidi="ar-SA"/>
        </w:rPr>
        <w:t>01/01/2022– 31/12/2022. (In progress)</w:t>
      </w:r>
      <w:r>
        <w:rPr>
          <w:rFonts w:ascii="Calibri" w:eastAsia="Calibri" w:hAnsi="Calibri" w:cs="Calibri"/>
          <w:color w:val="000000"/>
          <w:spacing w:val="0"/>
          <w:kern w:val="0"/>
          <w:sz w:val="22"/>
          <w:szCs w:val="22"/>
          <w:lang w:val="bs-Latn-BA" w:eastAsia="bs-Latn-BA" w:bidi="ar-SA"/>
        </w:rPr>
        <w:t xml:space="preserve">. </w:t>
      </w:r>
      <w:r w:rsidRPr="00451373">
        <w:rPr>
          <w:rFonts w:ascii="Calibri" w:eastAsia="Calibri" w:hAnsi="Calibri" w:cs="Calibri"/>
          <w:i/>
          <w:iCs/>
          <w:color w:val="000000"/>
          <w:spacing w:val="0"/>
          <w:kern w:val="0"/>
          <w:sz w:val="22"/>
          <w:szCs w:val="22"/>
          <w:lang w:val="bs-Latn-BA" w:eastAsia="bs-Latn-BA" w:bidi="ar-SA"/>
        </w:rPr>
        <w:t>The impact of aerosols of different tobacco products on individual and community health</w:t>
      </w:r>
      <w:r w:rsidRPr="00E9407A">
        <w:rPr>
          <w:rFonts w:ascii="Calibri" w:eastAsia="Calibri" w:hAnsi="Calibri" w:cs="Calibri"/>
          <w:color w:val="000000"/>
          <w:spacing w:val="0"/>
          <w:kern w:val="0"/>
          <w:sz w:val="22"/>
          <w:szCs w:val="22"/>
          <w:lang w:val="bs-Latn-BA" w:eastAsia="bs-Latn-BA" w:bidi="ar-SA"/>
        </w:rPr>
        <w:t xml:space="preserve">. Project manager. Project financed by the Ministry of Science, Higher Education and Youth of Sarajevo Canton. </w:t>
      </w:r>
    </w:p>
    <w:p w14:paraId="53B37B85" w14:textId="77777777" w:rsidR="00BC10DA" w:rsidRPr="00E9407A" w:rsidRDefault="00BC10DA" w:rsidP="00BC10DA">
      <w:pPr>
        <w:pStyle w:val="ECVSectionDetails"/>
        <w:numPr>
          <w:ilvl w:val="0"/>
          <w:numId w:val="4"/>
        </w:numPr>
        <w:ind w:left="709"/>
        <w:rPr>
          <w:rFonts w:ascii="Calibri" w:eastAsia="Calibri" w:hAnsi="Calibri" w:cs="Calibri"/>
          <w:color w:val="000000"/>
          <w:spacing w:val="0"/>
          <w:kern w:val="0"/>
          <w:sz w:val="22"/>
          <w:szCs w:val="22"/>
          <w:lang w:val="bs-Latn-BA" w:eastAsia="bs-Latn-BA" w:bidi="ar-SA"/>
        </w:rPr>
      </w:pPr>
      <w:bookmarkStart w:id="3" w:name="_Hlk132185248"/>
      <w:r w:rsidRPr="00E9407A">
        <w:rPr>
          <w:rFonts w:ascii="Calibri" w:eastAsia="Calibri" w:hAnsi="Calibri" w:cs="Calibri"/>
          <w:color w:val="000000"/>
          <w:spacing w:val="0"/>
          <w:kern w:val="0"/>
          <w:sz w:val="22"/>
          <w:szCs w:val="22"/>
          <w:lang w:val="bs-Latn-BA" w:eastAsia="bs-Latn-BA" w:bidi="ar-SA"/>
        </w:rPr>
        <w:t>01/07/2021- 30/06/2023</w:t>
      </w:r>
      <w:bookmarkEnd w:id="3"/>
      <w:r w:rsidRPr="00E9407A">
        <w:rPr>
          <w:rFonts w:ascii="Calibri" w:eastAsia="Calibri" w:hAnsi="Calibri" w:cs="Calibri"/>
          <w:color w:val="000000"/>
          <w:spacing w:val="0"/>
          <w:kern w:val="0"/>
          <w:sz w:val="22"/>
          <w:szCs w:val="22"/>
          <w:lang w:val="bs-Latn-BA" w:eastAsia="bs-Latn-BA" w:bidi="ar-SA"/>
        </w:rPr>
        <w:t xml:space="preserve">.  </w:t>
      </w:r>
      <w:r w:rsidRPr="00451373">
        <w:rPr>
          <w:rFonts w:ascii="Calibri" w:eastAsia="Calibri" w:hAnsi="Calibri" w:cs="Calibri"/>
          <w:i/>
          <w:iCs/>
          <w:color w:val="000000"/>
          <w:spacing w:val="0"/>
          <w:kern w:val="0"/>
          <w:sz w:val="22"/>
          <w:szCs w:val="22"/>
          <w:lang w:val="bs-Latn-BA" w:eastAsia="bs-Latn-BA" w:bidi="ar-SA"/>
        </w:rPr>
        <w:t>Testing the stability of UV filters in sunscreens and determining the toxic properties of degradation products.</w:t>
      </w:r>
      <w:r w:rsidRPr="00E9407A">
        <w:rPr>
          <w:rFonts w:ascii="Calibri" w:eastAsia="Calibri" w:hAnsi="Calibri" w:cs="Calibri"/>
          <w:color w:val="000000"/>
          <w:spacing w:val="0"/>
          <w:kern w:val="0"/>
          <w:sz w:val="22"/>
          <w:szCs w:val="22"/>
          <w:lang w:val="bs-Latn-BA" w:eastAsia="bs-Latn-BA" w:bidi="ar-SA"/>
        </w:rPr>
        <w:t xml:space="preserve"> Collaborator on the project. Project funded by: Federal Ministry of Education and Science. </w:t>
      </w:r>
    </w:p>
    <w:p w14:paraId="27967895" w14:textId="77777777" w:rsidR="00BC10DA" w:rsidRPr="00E9407A" w:rsidRDefault="00BC10DA" w:rsidP="00BC10DA">
      <w:pPr>
        <w:pStyle w:val="ECVSectionDetails"/>
        <w:numPr>
          <w:ilvl w:val="0"/>
          <w:numId w:val="4"/>
        </w:numPr>
        <w:ind w:left="709"/>
        <w:rPr>
          <w:rFonts w:ascii="Calibri" w:eastAsia="Calibri" w:hAnsi="Calibri" w:cs="Calibri"/>
          <w:color w:val="000000"/>
          <w:spacing w:val="0"/>
          <w:kern w:val="0"/>
          <w:sz w:val="22"/>
          <w:szCs w:val="22"/>
          <w:lang w:val="bs-Latn-BA" w:eastAsia="bs-Latn-BA" w:bidi="ar-SA"/>
        </w:rPr>
      </w:pPr>
      <w:bookmarkStart w:id="4" w:name="Innovating_quality_assessment_tools_for_"/>
      <w:bookmarkEnd w:id="4"/>
      <w:r w:rsidRPr="00E9407A">
        <w:rPr>
          <w:rFonts w:ascii="Calibri" w:eastAsia="Calibri" w:hAnsi="Calibri" w:cs="Calibri"/>
          <w:color w:val="000000"/>
          <w:spacing w:val="0"/>
          <w:kern w:val="0"/>
          <w:sz w:val="22"/>
          <w:szCs w:val="22"/>
          <w:lang w:val="bs-Latn-BA" w:eastAsia="bs-Latn-BA" w:bidi="ar-SA"/>
        </w:rPr>
        <w:t>15/01/2021– 15/01/2024.</w:t>
      </w:r>
      <w:r>
        <w:rPr>
          <w:rFonts w:ascii="Calibri" w:eastAsia="Calibri" w:hAnsi="Calibri" w:cs="Calibri"/>
          <w:color w:val="000000"/>
          <w:spacing w:val="0"/>
          <w:kern w:val="0"/>
          <w:sz w:val="22"/>
          <w:szCs w:val="22"/>
          <w:lang w:val="bs-Latn-BA" w:eastAsia="bs-Latn-BA" w:bidi="ar-SA"/>
        </w:rPr>
        <w:t xml:space="preserve"> </w:t>
      </w:r>
      <w:r w:rsidRPr="00451373">
        <w:rPr>
          <w:rFonts w:ascii="Calibri" w:eastAsia="Calibri" w:hAnsi="Calibri" w:cs="Calibri"/>
          <w:i/>
          <w:iCs/>
          <w:color w:val="000000"/>
          <w:spacing w:val="0"/>
          <w:kern w:val="0"/>
          <w:sz w:val="22"/>
          <w:szCs w:val="22"/>
          <w:lang w:val="bs-Latn-BA" w:eastAsia="bs-Latn-BA" w:bidi="ar-SA"/>
        </w:rPr>
        <w:t>Innovating quality assessment tools for pharmacy studies in Bosnia and Herzegovina</w:t>
      </w:r>
      <w:r w:rsidRPr="00E9407A">
        <w:rPr>
          <w:rFonts w:ascii="Calibri" w:eastAsia="Calibri" w:hAnsi="Calibri" w:cs="Calibri"/>
          <w:color w:val="000000"/>
          <w:spacing w:val="0"/>
          <w:kern w:val="0"/>
          <w:sz w:val="22"/>
          <w:szCs w:val="22"/>
          <w:lang w:val="bs-Latn-BA" w:eastAsia="bs-Latn-BA" w:bidi="ar-SA"/>
        </w:rPr>
        <w:t xml:space="preserve">. Collaborator on the project. Erasmus + Capacity Building in the field of Higher Education 2020. Call EAC/A02/2019. Project implemented and funded by European Commission. </w:t>
      </w:r>
    </w:p>
    <w:p w14:paraId="529CA8BF" w14:textId="77777777" w:rsidR="00BC10DA" w:rsidRPr="00E9407A" w:rsidRDefault="00BC10DA" w:rsidP="00BC10DA">
      <w:pPr>
        <w:pStyle w:val="ECVSectionDetails"/>
        <w:numPr>
          <w:ilvl w:val="0"/>
          <w:numId w:val="4"/>
        </w:numPr>
        <w:ind w:left="709"/>
        <w:rPr>
          <w:rFonts w:ascii="Calibri" w:eastAsia="Calibri" w:hAnsi="Calibri" w:cs="Calibri"/>
          <w:color w:val="000000"/>
          <w:spacing w:val="0"/>
          <w:kern w:val="0"/>
          <w:sz w:val="22"/>
          <w:szCs w:val="22"/>
          <w:lang w:val="bs-Latn-BA" w:eastAsia="bs-Latn-BA" w:bidi="ar-SA"/>
        </w:rPr>
      </w:pPr>
      <w:bookmarkStart w:id="5" w:name="Javni_poziv_Ministarstva_za_obrazovanje,"/>
      <w:bookmarkEnd w:id="5"/>
      <w:r>
        <w:rPr>
          <w:rFonts w:ascii="Calibri" w:eastAsia="Calibri" w:hAnsi="Calibri" w:cs="Calibri"/>
          <w:color w:val="000000"/>
          <w:spacing w:val="0"/>
          <w:kern w:val="0"/>
          <w:sz w:val="22"/>
          <w:szCs w:val="22"/>
          <w:lang w:val="bs-Latn-BA" w:eastAsia="bs-Latn-BA" w:bidi="ar-SA"/>
        </w:rPr>
        <w:t>I</w:t>
      </w:r>
      <w:r w:rsidRPr="00E9407A">
        <w:rPr>
          <w:rFonts w:ascii="Calibri" w:eastAsia="Calibri" w:hAnsi="Calibri" w:cs="Calibri"/>
          <w:color w:val="000000"/>
          <w:spacing w:val="0"/>
          <w:kern w:val="0"/>
          <w:sz w:val="22"/>
          <w:szCs w:val="22"/>
          <w:lang w:val="bs-Latn-BA" w:eastAsia="bs-Latn-BA" w:bidi="ar-SA"/>
        </w:rPr>
        <w:t>n 2019</w:t>
      </w:r>
      <w:r>
        <w:rPr>
          <w:rFonts w:ascii="Calibri" w:eastAsia="Calibri" w:hAnsi="Calibri" w:cs="Calibri"/>
          <w:color w:val="000000"/>
          <w:spacing w:val="0"/>
          <w:kern w:val="0"/>
          <w:sz w:val="22"/>
          <w:szCs w:val="22"/>
          <w:lang w:val="bs-Latn-BA" w:eastAsia="bs-Latn-BA" w:bidi="ar-SA"/>
        </w:rPr>
        <w:t xml:space="preserve">. </w:t>
      </w:r>
      <w:r w:rsidRPr="00E9407A">
        <w:rPr>
          <w:rFonts w:ascii="Calibri" w:eastAsia="Calibri" w:hAnsi="Calibri" w:cs="Calibri"/>
          <w:color w:val="000000"/>
          <w:spacing w:val="0"/>
          <w:kern w:val="0"/>
          <w:sz w:val="22"/>
          <w:szCs w:val="22"/>
          <w:lang w:val="bs-Latn-BA" w:eastAsia="bs-Latn-BA" w:bidi="ar-SA"/>
        </w:rPr>
        <w:t xml:space="preserve">Public invitation of the Ministry of Education, Science and Youth of Sarajevo Canton for 2019. Program 6. Project manager. Procurement of HPLC apparatus with DAD and electrochemical detector. Project financed by the Ministry of Education, Science and Youth of Sarajevo Canton. </w:t>
      </w:r>
      <w:bookmarkStart w:id="6" w:name="Interaction_between_omeprazole_and_glicl"/>
      <w:bookmarkEnd w:id="6"/>
    </w:p>
    <w:p w14:paraId="5F027F33" w14:textId="77777777" w:rsidR="00BC10DA" w:rsidRDefault="00BC10DA" w:rsidP="00BC10DA">
      <w:pPr>
        <w:numPr>
          <w:ilvl w:val="0"/>
          <w:numId w:val="1"/>
        </w:numPr>
        <w:pBdr>
          <w:top w:val="nil"/>
          <w:left w:val="nil"/>
          <w:bottom w:val="nil"/>
          <w:right w:val="nil"/>
          <w:between w:val="nil"/>
        </w:pBdr>
        <w:spacing w:after="0" w:line="240" w:lineRule="auto"/>
        <w:jc w:val="both"/>
      </w:pPr>
      <w:r>
        <w:rPr>
          <w:color w:val="000000"/>
        </w:rPr>
        <w:t xml:space="preserve">01.07.2018.- 01.07.2020. </w:t>
      </w:r>
      <w:r>
        <w:rPr>
          <w:i/>
          <w:color w:val="000000"/>
        </w:rPr>
        <w:t>Interaction between omeprazole and gliclazide in CYP2C19 normal/ ultrarapid metabolisers</w:t>
      </w:r>
      <w:r>
        <w:rPr>
          <w:color w:val="000000"/>
        </w:rPr>
        <w:t>. (Wellcome Trust Seed Award in Science. No. 209943/Z/17/Z). Head of Project: PhD. Tanja Dujić</w:t>
      </w:r>
    </w:p>
    <w:p w14:paraId="7DD6C33B" w14:textId="77777777" w:rsidR="00BC10DA" w:rsidRDefault="00BC10DA" w:rsidP="00BC10DA">
      <w:pPr>
        <w:numPr>
          <w:ilvl w:val="0"/>
          <w:numId w:val="1"/>
        </w:numPr>
        <w:pBdr>
          <w:top w:val="nil"/>
          <w:left w:val="nil"/>
          <w:bottom w:val="nil"/>
          <w:right w:val="nil"/>
          <w:between w:val="nil"/>
        </w:pBdr>
        <w:spacing w:after="0" w:line="240" w:lineRule="auto"/>
        <w:jc w:val="both"/>
      </w:pPr>
      <w:r>
        <w:rPr>
          <w:color w:val="000000"/>
        </w:rPr>
        <w:t xml:space="preserve">2017-2018. </w:t>
      </w:r>
      <w:r>
        <w:rPr>
          <w:i/>
          <w:color w:val="000000"/>
        </w:rPr>
        <w:t>Pharmacological activity of antimicrobial and antiseptic extemporaneous preparations during and after the permitted period of administration</w:t>
      </w:r>
      <w:r>
        <w:rPr>
          <w:color w:val="000000"/>
        </w:rPr>
        <w:t>. (Project funded by the Ministry of Education, Science and Youth of Canton Sarajevo). Head of Project: PhD. Fahir Bečić</w:t>
      </w:r>
    </w:p>
    <w:p w14:paraId="330CAA5E" w14:textId="77777777" w:rsidR="00BC10DA" w:rsidRDefault="00BC10DA" w:rsidP="00BC10DA">
      <w:pPr>
        <w:numPr>
          <w:ilvl w:val="0"/>
          <w:numId w:val="1"/>
        </w:numPr>
        <w:pBdr>
          <w:top w:val="nil"/>
          <w:left w:val="nil"/>
          <w:bottom w:val="nil"/>
          <w:right w:val="nil"/>
          <w:between w:val="nil"/>
        </w:pBdr>
        <w:spacing w:after="0" w:line="240" w:lineRule="auto"/>
        <w:jc w:val="both"/>
      </w:pPr>
      <w:r>
        <w:rPr>
          <w:color w:val="000000"/>
        </w:rPr>
        <w:t xml:space="preserve">2015- 2016. </w:t>
      </w:r>
      <w:r>
        <w:rPr>
          <w:i/>
          <w:color w:val="000000"/>
        </w:rPr>
        <w:t>Alternative methods for the determination of residues of antibiotics in honey</w:t>
      </w:r>
      <w:r>
        <w:rPr>
          <w:color w:val="000000"/>
        </w:rPr>
        <w:t xml:space="preserve"> (Project funded by the Federal Ministry of Education and Science. No. 0101-7556-6 / 15.). Head of Project: PhD. Ervina Bečić</w:t>
      </w:r>
    </w:p>
    <w:p w14:paraId="07F09C69" w14:textId="77777777" w:rsidR="00BC10DA" w:rsidRDefault="00BC10DA" w:rsidP="00BC10DA">
      <w:pPr>
        <w:numPr>
          <w:ilvl w:val="0"/>
          <w:numId w:val="1"/>
        </w:numPr>
        <w:pBdr>
          <w:top w:val="nil"/>
          <w:left w:val="nil"/>
          <w:bottom w:val="nil"/>
          <w:right w:val="nil"/>
          <w:between w:val="nil"/>
        </w:pBdr>
        <w:spacing w:after="120" w:line="240" w:lineRule="auto"/>
        <w:jc w:val="both"/>
      </w:pPr>
      <w:r>
        <w:rPr>
          <w:color w:val="000000"/>
        </w:rPr>
        <w:t xml:space="preserve">2015-2016. </w:t>
      </w:r>
      <w:r>
        <w:rPr>
          <w:i/>
          <w:color w:val="000000"/>
        </w:rPr>
        <w:t>A Common Future Based on Common Interests</w:t>
      </w:r>
      <w:r>
        <w:rPr>
          <w:color w:val="000000"/>
        </w:rPr>
        <w:t>. (Project implemented and funded by UNESCO, UNICEF and UNDP). Head of Project: PhD. Almir Badnjević, Bosnia and Herzegovina Medical and Biological Engineering Society</w:t>
      </w:r>
    </w:p>
    <w:p w14:paraId="34AD2DD4" w14:textId="77777777" w:rsidR="00BC10DA" w:rsidRDefault="00BC10DA" w:rsidP="00BC10DA"/>
    <w:p w14:paraId="72C3F501" w14:textId="77777777" w:rsidR="00BC10DA" w:rsidRDefault="00BC10DA" w:rsidP="00BC10DA">
      <w:pPr>
        <w:rPr>
          <w:b/>
          <w:sz w:val="24"/>
          <w:szCs w:val="24"/>
        </w:rPr>
      </w:pPr>
      <w:r>
        <w:rPr>
          <w:b/>
          <w:sz w:val="24"/>
          <w:szCs w:val="24"/>
        </w:rPr>
        <w:t>Selected publications (up to 10):</w:t>
      </w:r>
    </w:p>
    <w:p w14:paraId="629B2325"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Fonts w:asciiTheme="majorHAnsi" w:hAnsiTheme="majorHAnsi" w:cstheme="majorHAnsi"/>
          <w:position w:val="1"/>
        </w:rPr>
      </w:pPr>
      <w:r w:rsidRPr="00812C34">
        <w:rPr>
          <w:rFonts w:asciiTheme="majorHAnsi" w:hAnsiTheme="majorHAnsi" w:cstheme="majorHAnsi"/>
          <w:position w:val="1"/>
          <w:lang w:val="en-GB"/>
        </w:rPr>
        <w:t xml:space="preserve">Omeragić, E., Imamović, B., </w:t>
      </w:r>
      <w:r w:rsidRPr="00812C34">
        <w:rPr>
          <w:rFonts w:asciiTheme="majorHAnsi" w:hAnsiTheme="majorHAnsi" w:cstheme="majorHAnsi"/>
          <w:b/>
          <w:bCs/>
          <w:position w:val="1"/>
          <w:u w:val="single"/>
          <w:lang w:val="en-GB"/>
        </w:rPr>
        <w:t>Dedić, M.</w:t>
      </w:r>
      <w:r w:rsidRPr="00812C34">
        <w:rPr>
          <w:rFonts w:asciiTheme="majorHAnsi" w:hAnsiTheme="majorHAnsi" w:cstheme="majorHAnsi"/>
          <w:position w:val="1"/>
          <w:lang w:val="en-GB"/>
        </w:rPr>
        <w:t xml:space="preserve">, Mujezin, I., &amp; Bečić, E. (2024). A comprehensive review of the direct peptide reactivity test in skin hypersensitivity testing - applicability, limitations and considerations. </w:t>
      </w:r>
      <w:r w:rsidRPr="00812C34">
        <w:rPr>
          <w:rFonts w:asciiTheme="majorHAnsi" w:hAnsiTheme="majorHAnsi" w:cstheme="majorHAnsi"/>
          <w:i/>
          <w:iCs/>
          <w:position w:val="1"/>
          <w:lang w:val="en-GB"/>
        </w:rPr>
        <w:t>Arhiv za farmaciju</w:t>
      </w:r>
      <w:r w:rsidRPr="00812C34">
        <w:rPr>
          <w:rFonts w:asciiTheme="majorHAnsi" w:hAnsiTheme="majorHAnsi" w:cstheme="majorHAnsi"/>
          <w:position w:val="1"/>
          <w:lang w:val="en-GB"/>
        </w:rPr>
        <w:t>, </w:t>
      </w:r>
      <w:r w:rsidRPr="00812C34">
        <w:rPr>
          <w:rFonts w:asciiTheme="majorHAnsi" w:hAnsiTheme="majorHAnsi" w:cstheme="majorHAnsi"/>
          <w:i/>
          <w:iCs/>
          <w:position w:val="1"/>
          <w:lang w:val="en-GB"/>
        </w:rPr>
        <w:t>74</w:t>
      </w:r>
      <w:r w:rsidRPr="00812C34">
        <w:rPr>
          <w:rFonts w:asciiTheme="majorHAnsi" w:hAnsiTheme="majorHAnsi" w:cstheme="majorHAnsi"/>
          <w:position w:val="1"/>
          <w:lang w:val="en-GB"/>
        </w:rPr>
        <w:t>(2), 118-132. </w:t>
      </w:r>
      <w:hyperlink r:id="rId5" w:tgtFrame="_blank" w:history="1">
        <w:r w:rsidRPr="00812C34">
          <w:rPr>
            <w:rStyle w:val="Hyperlink"/>
            <w:rFonts w:asciiTheme="majorHAnsi" w:hAnsiTheme="majorHAnsi" w:cstheme="majorHAnsi"/>
            <w:position w:val="1"/>
            <w:lang w:val="en-GB"/>
          </w:rPr>
          <w:t>https://doi.org/10.5937/arhfarm74-49552</w:t>
        </w:r>
      </w:hyperlink>
    </w:p>
    <w:p w14:paraId="74A01EFA" w14:textId="77777777" w:rsidR="00BC10DA" w:rsidRPr="00812C34" w:rsidRDefault="00BC10DA" w:rsidP="00BC10DA">
      <w:pPr>
        <w:pStyle w:val="ListParagraph"/>
        <w:tabs>
          <w:tab w:val="left" w:pos="1001"/>
        </w:tabs>
        <w:spacing w:line="250" w:lineRule="auto"/>
        <w:ind w:left="113" w:right="323"/>
        <w:rPr>
          <w:rFonts w:asciiTheme="majorHAnsi" w:hAnsiTheme="majorHAnsi" w:cstheme="majorHAnsi"/>
          <w:position w:val="1"/>
        </w:rPr>
      </w:pPr>
    </w:p>
    <w:p w14:paraId="3DD1432C"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Fonts w:asciiTheme="majorHAnsi" w:hAnsiTheme="majorHAnsi" w:cstheme="majorHAnsi"/>
          <w:position w:val="1"/>
        </w:rPr>
      </w:pPr>
      <w:r w:rsidRPr="00812C34">
        <w:rPr>
          <w:rFonts w:asciiTheme="majorHAnsi" w:hAnsiTheme="majorHAnsi" w:cstheme="majorHAnsi"/>
          <w:position w:val="1"/>
          <w:lang w:val="en-GB"/>
        </w:rPr>
        <w:t xml:space="preserve">Bečić, E., </w:t>
      </w:r>
      <w:r w:rsidRPr="00812C34">
        <w:rPr>
          <w:rFonts w:asciiTheme="majorHAnsi" w:hAnsiTheme="majorHAnsi" w:cstheme="majorHAnsi"/>
          <w:b/>
          <w:bCs/>
          <w:position w:val="1"/>
          <w:u w:val="single"/>
          <w:lang w:val="en-GB"/>
        </w:rPr>
        <w:t>Dedić, M.</w:t>
      </w:r>
      <w:r w:rsidRPr="00812C34">
        <w:rPr>
          <w:rFonts w:asciiTheme="majorHAnsi" w:hAnsiTheme="majorHAnsi" w:cstheme="majorHAnsi"/>
          <w:position w:val="1"/>
          <w:lang w:val="en-GB"/>
        </w:rPr>
        <w:t>, Imamović, B., Špirtović-Halilović, S. i Omeragić, E. (2024). Substituent and Solvent Effects on the Spectral Properties of 3-Substituted Derivatives of 4-</w:t>
      </w:r>
      <w:r w:rsidRPr="00812C34">
        <w:rPr>
          <w:rFonts w:asciiTheme="majorHAnsi" w:hAnsiTheme="majorHAnsi" w:cstheme="majorHAnsi"/>
          <w:position w:val="1"/>
          <w:lang w:val="en-GB"/>
        </w:rPr>
        <w:lastRenderedPageBreak/>
        <w:t>Hydroxycoumarin. </w:t>
      </w:r>
      <w:r w:rsidRPr="00812C34">
        <w:rPr>
          <w:rFonts w:asciiTheme="majorHAnsi" w:hAnsiTheme="majorHAnsi" w:cstheme="majorHAnsi"/>
          <w:i/>
          <w:iCs/>
          <w:position w:val="1"/>
          <w:lang w:val="en-GB"/>
        </w:rPr>
        <w:t>Kemija u industriji, 73</w:t>
      </w:r>
      <w:r w:rsidRPr="00812C34">
        <w:rPr>
          <w:rFonts w:asciiTheme="majorHAnsi" w:hAnsiTheme="majorHAnsi" w:cstheme="majorHAnsi"/>
          <w:position w:val="1"/>
          <w:lang w:val="en-GB"/>
        </w:rPr>
        <w:t xml:space="preserve"> (1-2), 1-6. </w:t>
      </w:r>
      <w:hyperlink r:id="rId6" w:history="1">
        <w:r w:rsidRPr="00812C34">
          <w:rPr>
            <w:rStyle w:val="Hyperlink"/>
            <w:rFonts w:asciiTheme="majorHAnsi" w:hAnsiTheme="majorHAnsi" w:cstheme="majorHAnsi"/>
            <w:position w:val="1"/>
            <w:lang w:val="en-GB"/>
          </w:rPr>
          <w:t>https://doi.org/10.15255/KUI.2023.018</w:t>
        </w:r>
      </w:hyperlink>
      <w:r w:rsidRPr="00812C34">
        <w:rPr>
          <w:rFonts w:asciiTheme="majorHAnsi" w:hAnsiTheme="majorHAnsi" w:cstheme="majorHAnsi"/>
          <w:position w:val="1"/>
          <w:lang w:val="en-GB"/>
        </w:rPr>
        <w:t xml:space="preserve"> </w:t>
      </w:r>
    </w:p>
    <w:p w14:paraId="200ACD9F" w14:textId="77777777" w:rsidR="00BC10DA" w:rsidRPr="00812C34" w:rsidRDefault="00BC10DA" w:rsidP="00BC10DA">
      <w:pPr>
        <w:pStyle w:val="ListParagraph"/>
        <w:tabs>
          <w:tab w:val="left" w:pos="1001"/>
        </w:tabs>
        <w:spacing w:line="250" w:lineRule="auto"/>
        <w:ind w:right="323"/>
        <w:rPr>
          <w:rFonts w:asciiTheme="majorHAnsi" w:hAnsiTheme="majorHAnsi" w:cstheme="majorHAnsi"/>
          <w:position w:val="1"/>
        </w:rPr>
      </w:pPr>
    </w:p>
    <w:p w14:paraId="597F100C"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Fonts w:asciiTheme="majorHAnsi" w:hAnsiTheme="majorHAnsi" w:cstheme="majorHAnsi"/>
          <w:position w:val="1"/>
        </w:rPr>
      </w:pPr>
      <w:r w:rsidRPr="00812C34">
        <w:rPr>
          <w:rFonts w:asciiTheme="majorHAnsi" w:hAnsiTheme="majorHAnsi" w:cstheme="majorHAnsi"/>
          <w:position w:val="1"/>
        </w:rPr>
        <w:t xml:space="preserve">Bečić E., Salihović M., Tüzün B., Omeragić E., Imamović B., </w:t>
      </w:r>
      <w:r w:rsidRPr="00812C34">
        <w:rPr>
          <w:rFonts w:asciiTheme="majorHAnsi" w:hAnsiTheme="majorHAnsi" w:cstheme="majorHAnsi"/>
          <w:b/>
          <w:bCs/>
          <w:position w:val="1"/>
          <w:u w:val="single"/>
        </w:rPr>
        <w:t>Dedić M.</w:t>
      </w:r>
      <w:r w:rsidRPr="00812C34">
        <w:rPr>
          <w:rFonts w:asciiTheme="majorHAnsi" w:hAnsiTheme="majorHAnsi" w:cstheme="majorHAnsi"/>
          <w:position w:val="1"/>
        </w:rPr>
        <w:t xml:space="preserve">, Sunčica Roca S., Špirtović-Halilović S. Comparative study of experimental and DFT calculations for 3-cinnamoyl 4-hydroxycoumarin derivatives. Technol Health Care [Internet]. 2024;1–12. Available from: </w:t>
      </w:r>
      <w:hyperlink r:id="rId7" w:history="1">
        <w:r w:rsidRPr="00812C34">
          <w:rPr>
            <w:rStyle w:val="Hyperlink"/>
            <w:rFonts w:asciiTheme="majorHAnsi" w:hAnsiTheme="majorHAnsi" w:cstheme="majorHAnsi"/>
            <w:position w:val="1"/>
          </w:rPr>
          <w:t>http://dx.doi.org/10.3233/thc-231798</w:t>
        </w:r>
      </w:hyperlink>
      <w:r w:rsidRPr="00812C34">
        <w:rPr>
          <w:rFonts w:asciiTheme="majorHAnsi" w:hAnsiTheme="majorHAnsi" w:cstheme="majorHAnsi"/>
          <w:position w:val="1"/>
        </w:rPr>
        <w:t xml:space="preserve"> </w:t>
      </w:r>
    </w:p>
    <w:p w14:paraId="7A977A8A" w14:textId="77777777" w:rsidR="00BC10DA" w:rsidRPr="00812C34" w:rsidRDefault="00BC10DA" w:rsidP="00BC10DA">
      <w:pPr>
        <w:pStyle w:val="ListParagraph"/>
        <w:tabs>
          <w:tab w:val="left" w:pos="1001"/>
        </w:tabs>
        <w:spacing w:line="250" w:lineRule="auto"/>
        <w:ind w:right="323"/>
        <w:rPr>
          <w:rFonts w:asciiTheme="majorHAnsi" w:hAnsiTheme="majorHAnsi" w:cstheme="majorHAnsi"/>
          <w:position w:val="1"/>
        </w:rPr>
      </w:pPr>
    </w:p>
    <w:p w14:paraId="20450CB3"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Fonts w:asciiTheme="majorHAnsi" w:hAnsiTheme="majorHAnsi" w:cstheme="majorHAnsi"/>
          <w:position w:val="1"/>
        </w:rPr>
      </w:pPr>
      <w:r w:rsidRPr="00812C34">
        <w:rPr>
          <w:rFonts w:asciiTheme="majorHAnsi" w:hAnsiTheme="majorHAnsi" w:cstheme="majorHAnsi"/>
          <w:b/>
          <w:bCs/>
          <w:position w:val="1"/>
          <w:u w:val="single"/>
        </w:rPr>
        <w:t>Dedić M</w:t>
      </w:r>
      <w:r w:rsidRPr="00812C34">
        <w:rPr>
          <w:rFonts w:asciiTheme="majorHAnsi" w:hAnsiTheme="majorHAnsi" w:cstheme="majorHAnsi"/>
          <w:position w:val="1"/>
        </w:rPr>
        <w:t xml:space="preserve">., Omeragić E., Imamović B., Bilajac E., Mahmutović L., Glamočlija U., Bečić E. HPLC method for the determination of thymoquinone in growth cell medium. Technol Health Care [Internet]. 2024;1–14. Available from: </w:t>
      </w:r>
      <w:r w:rsidRPr="00812C34">
        <w:rPr>
          <w:rStyle w:val="Hyperlink"/>
          <w:rFonts w:asciiTheme="majorHAnsi" w:hAnsiTheme="majorHAnsi" w:cstheme="majorHAnsi"/>
        </w:rPr>
        <w:t>http://dx.doi.org/10.3233/thc-231432</w:t>
      </w:r>
    </w:p>
    <w:p w14:paraId="1404FF94" w14:textId="77777777" w:rsidR="00BC10DA" w:rsidRPr="00812C34" w:rsidRDefault="00BC10DA" w:rsidP="00BC10DA">
      <w:pPr>
        <w:tabs>
          <w:tab w:val="left" w:pos="1001"/>
        </w:tabs>
        <w:spacing w:line="250" w:lineRule="auto"/>
        <w:ind w:right="323"/>
        <w:rPr>
          <w:rFonts w:asciiTheme="majorHAnsi" w:hAnsiTheme="majorHAnsi" w:cstheme="majorHAnsi"/>
          <w:position w:val="1"/>
        </w:rPr>
      </w:pPr>
    </w:p>
    <w:p w14:paraId="1ECD8E5C"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Fonts w:asciiTheme="majorHAnsi" w:hAnsiTheme="majorHAnsi" w:cstheme="majorHAnsi"/>
          <w:position w:val="1"/>
        </w:rPr>
      </w:pPr>
      <w:r w:rsidRPr="00812C34">
        <w:rPr>
          <w:rFonts w:asciiTheme="majorHAnsi" w:hAnsiTheme="majorHAnsi" w:cstheme="majorHAnsi"/>
          <w:position w:val="1"/>
        </w:rPr>
        <w:t xml:space="preserve">Elezović A., Omeragić E., Badnjević A., </w:t>
      </w:r>
      <w:r w:rsidRPr="00812C34">
        <w:rPr>
          <w:rFonts w:asciiTheme="majorHAnsi" w:hAnsiTheme="majorHAnsi" w:cstheme="majorHAnsi"/>
          <w:b/>
          <w:bCs/>
          <w:position w:val="1"/>
          <w:u w:val="single"/>
        </w:rPr>
        <w:t>Dedić M.</w:t>
      </w:r>
      <w:r w:rsidRPr="00812C34">
        <w:rPr>
          <w:rFonts w:asciiTheme="majorHAnsi" w:hAnsiTheme="majorHAnsi" w:cstheme="majorHAnsi"/>
          <w:position w:val="1"/>
        </w:rPr>
        <w:t xml:space="preserve">, Bošković D., Nikolić A., Bečić F., Bego T. </w:t>
      </w:r>
      <w:hyperlink r:id="rId8" w:history="1">
        <w:r w:rsidRPr="00812C34">
          <w:rPr>
            <w:rFonts w:asciiTheme="majorHAnsi" w:hAnsiTheme="majorHAnsi" w:cstheme="majorHAnsi"/>
            <w:position w:val="1"/>
          </w:rPr>
          <w:t>Raising the Quality, Digitalizatio and Modernization of Higher Education through the Implementation of the ERASMUS+ Project-IQPHARM</w:t>
        </w:r>
      </w:hyperlink>
      <w:r w:rsidRPr="00812C34">
        <w:rPr>
          <w:rFonts w:asciiTheme="majorHAnsi" w:hAnsiTheme="majorHAnsi" w:cstheme="majorHAnsi"/>
          <w:position w:val="1"/>
        </w:rPr>
        <w:t>. Pregled: časopis za društvena pitanja/ Periodical for social issues, 269-287, 2023.</w:t>
      </w:r>
    </w:p>
    <w:p w14:paraId="4EDB1EBC" w14:textId="77777777" w:rsidR="00BC10DA" w:rsidRPr="00812C34" w:rsidRDefault="00BC10DA" w:rsidP="00BC10DA">
      <w:pPr>
        <w:pStyle w:val="ListParagraph"/>
        <w:tabs>
          <w:tab w:val="left" w:pos="1001"/>
        </w:tabs>
        <w:spacing w:line="250" w:lineRule="auto"/>
        <w:ind w:right="323"/>
        <w:rPr>
          <w:rFonts w:asciiTheme="majorHAnsi" w:hAnsiTheme="majorHAnsi" w:cstheme="majorHAnsi"/>
          <w:position w:val="1"/>
        </w:rPr>
      </w:pPr>
    </w:p>
    <w:p w14:paraId="4736FECB"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Fonts w:asciiTheme="majorHAnsi" w:hAnsiTheme="majorHAnsi" w:cstheme="majorHAnsi"/>
          <w:position w:val="1"/>
        </w:rPr>
      </w:pPr>
      <w:r w:rsidRPr="00812C34">
        <w:rPr>
          <w:rFonts w:asciiTheme="majorHAnsi" w:hAnsiTheme="majorHAnsi" w:cstheme="majorHAnsi"/>
          <w:position w:val="1"/>
        </w:rPr>
        <w:t xml:space="preserve">Alisa, S., Sara, D., Neira, C., Selena, H., Sabina, A., Nur, M. E., Mirsada, S., Mirha, P., Elma, O., </w:t>
      </w:r>
      <w:r w:rsidRPr="00812C34">
        <w:rPr>
          <w:rFonts w:asciiTheme="majorHAnsi" w:hAnsiTheme="majorHAnsi" w:cstheme="majorHAnsi"/>
          <w:b/>
          <w:bCs/>
          <w:position w:val="1"/>
          <w:u w:val="single"/>
        </w:rPr>
        <w:t>Mirza, D</w:t>
      </w:r>
      <w:r w:rsidRPr="00812C34">
        <w:rPr>
          <w:rFonts w:asciiTheme="majorHAnsi" w:hAnsiTheme="majorHAnsi" w:cstheme="majorHAnsi"/>
          <w:position w:val="1"/>
        </w:rPr>
        <w:t xml:space="preserve">. (2023). Comparative Analysis of Chemical Composition and Antimicrobial Activity of Watermelon Seed Extracts (Citrullus Lanatus). In PONTE International Scientific Researchs Journal (Vol. 79, Issue 3). Ponte Academic Journal. </w:t>
      </w:r>
      <w:hyperlink r:id="rId9" w:history="1">
        <w:r w:rsidRPr="00812C34">
          <w:rPr>
            <w:rStyle w:val="Hyperlink"/>
            <w:rFonts w:asciiTheme="majorHAnsi" w:hAnsiTheme="majorHAnsi" w:cstheme="majorHAnsi"/>
          </w:rPr>
          <w:t>https://doi.org/10.21506/j.ponte.2023.3.4</w:t>
        </w:r>
      </w:hyperlink>
    </w:p>
    <w:p w14:paraId="23D98C30" w14:textId="77777777" w:rsidR="00BC10DA" w:rsidRPr="00812C34" w:rsidRDefault="00BC10DA" w:rsidP="00BC10DA">
      <w:pPr>
        <w:pStyle w:val="ListParagraph"/>
        <w:tabs>
          <w:tab w:val="left" w:pos="1001"/>
        </w:tabs>
        <w:spacing w:line="250" w:lineRule="auto"/>
        <w:ind w:right="323"/>
        <w:rPr>
          <w:rFonts w:asciiTheme="majorHAnsi" w:hAnsiTheme="majorHAnsi" w:cstheme="majorHAnsi"/>
          <w:position w:val="1"/>
        </w:rPr>
      </w:pPr>
    </w:p>
    <w:p w14:paraId="6BE3CA21" w14:textId="77777777" w:rsidR="00BC10DA" w:rsidRPr="00812C34" w:rsidRDefault="00BC10DA" w:rsidP="00BC10DA">
      <w:pPr>
        <w:pStyle w:val="Default"/>
        <w:numPr>
          <w:ilvl w:val="0"/>
          <w:numId w:val="5"/>
        </w:numPr>
        <w:rPr>
          <w:rFonts w:asciiTheme="majorHAnsi" w:hAnsiTheme="majorHAnsi" w:cstheme="majorHAnsi"/>
          <w:bCs/>
          <w:sz w:val="22"/>
          <w:szCs w:val="22"/>
          <w:shd w:val="clear" w:color="auto" w:fill="FFFFFF"/>
        </w:rPr>
      </w:pPr>
      <w:r w:rsidRPr="00812C34">
        <w:rPr>
          <w:rFonts w:asciiTheme="majorHAnsi" w:eastAsia="Microsoft Sans Serif" w:hAnsiTheme="majorHAnsi" w:cstheme="majorHAnsi"/>
          <w:color w:val="auto"/>
          <w:position w:val="1"/>
          <w:sz w:val="22"/>
          <w:szCs w:val="22"/>
          <w:lang w:eastAsia="en-US"/>
        </w:rPr>
        <w:t xml:space="preserve">Jordamović N., Pehlivanović B., Nikšić H., Gušić I., Korić E., </w:t>
      </w:r>
      <w:r w:rsidRPr="00812C34">
        <w:rPr>
          <w:rFonts w:asciiTheme="majorHAnsi" w:eastAsia="Microsoft Sans Serif" w:hAnsiTheme="majorHAnsi" w:cstheme="majorHAnsi"/>
          <w:b/>
          <w:bCs/>
          <w:color w:val="auto"/>
          <w:position w:val="1"/>
          <w:sz w:val="22"/>
          <w:szCs w:val="22"/>
          <w:u w:val="single"/>
          <w:lang w:eastAsia="en-US"/>
        </w:rPr>
        <w:t>Dedić M.</w:t>
      </w:r>
      <w:r w:rsidRPr="00812C34">
        <w:rPr>
          <w:rFonts w:asciiTheme="majorHAnsi" w:eastAsia="Microsoft Sans Serif" w:hAnsiTheme="majorHAnsi" w:cstheme="majorHAnsi"/>
          <w:color w:val="auto"/>
          <w:position w:val="1"/>
          <w:sz w:val="22"/>
          <w:szCs w:val="22"/>
          <w:lang w:eastAsia="en-US"/>
        </w:rPr>
        <w:t>, Tuna B., Bečić F., Durić K. Anti-proliferative and anti-inflammatory activity of triterpene extracts from plant species belonging to Lamiaceae family. Bol Latinoam Caribe Plant Med Aromat, 2023. 22 (6): 864 - 878.</w:t>
      </w:r>
      <w:r w:rsidRPr="00812C34">
        <w:rPr>
          <w:rFonts w:asciiTheme="majorHAnsi" w:hAnsiTheme="majorHAnsi" w:cstheme="majorHAnsi"/>
          <w:bCs/>
          <w:sz w:val="22"/>
          <w:szCs w:val="22"/>
          <w:shd w:val="clear" w:color="auto" w:fill="FFFFFF"/>
        </w:rPr>
        <w:t xml:space="preserve"> </w:t>
      </w:r>
      <w:r w:rsidRPr="00812C34">
        <w:rPr>
          <w:rStyle w:val="Hyperlink"/>
          <w:rFonts w:asciiTheme="majorHAnsi" w:eastAsia="Microsoft Sans Serif" w:hAnsiTheme="majorHAnsi" w:cstheme="majorHAnsi"/>
          <w:sz w:val="22"/>
          <w:szCs w:val="22"/>
          <w:lang w:eastAsia="en-US"/>
        </w:rPr>
        <w:t>https://doi.org/10.37360/blacpma.23.22.6.58.</w:t>
      </w:r>
    </w:p>
    <w:p w14:paraId="1CCE32C6" w14:textId="77777777" w:rsidR="00BC10DA" w:rsidRPr="00812C34" w:rsidRDefault="00BC10DA" w:rsidP="00BC10DA">
      <w:pPr>
        <w:pStyle w:val="ListParagraph"/>
        <w:tabs>
          <w:tab w:val="left" w:pos="1001"/>
        </w:tabs>
        <w:spacing w:line="250" w:lineRule="auto"/>
        <w:ind w:right="323"/>
        <w:rPr>
          <w:rFonts w:asciiTheme="majorHAnsi" w:hAnsiTheme="majorHAnsi" w:cstheme="majorHAnsi"/>
          <w:position w:val="1"/>
        </w:rPr>
      </w:pPr>
    </w:p>
    <w:p w14:paraId="2D7EA73A"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Fonts w:asciiTheme="majorHAnsi" w:hAnsiTheme="majorHAnsi" w:cstheme="majorHAnsi"/>
          <w:position w:val="1"/>
        </w:rPr>
      </w:pPr>
      <w:r w:rsidRPr="00812C34">
        <w:rPr>
          <w:rFonts w:asciiTheme="majorHAnsi" w:hAnsiTheme="majorHAnsi" w:cstheme="majorHAnsi"/>
          <w:position w:val="1"/>
        </w:rPr>
        <w:t xml:space="preserve">Bečić E., </w:t>
      </w:r>
      <w:r w:rsidRPr="00812C34">
        <w:rPr>
          <w:rFonts w:asciiTheme="majorHAnsi" w:hAnsiTheme="majorHAnsi" w:cstheme="majorHAnsi"/>
          <w:b/>
          <w:bCs/>
          <w:position w:val="1"/>
          <w:u w:val="single"/>
        </w:rPr>
        <w:t>Dedić M</w:t>
      </w:r>
      <w:r w:rsidRPr="00812C34">
        <w:rPr>
          <w:rFonts w:asciiTheme="majorHAnsi" w:hAnsiTheme="majorHAnsi" w:cstheme="majorHAnsi"/>
          <w:position w:val="1"/>
          <w:u w:val="single"/>
        </w:rPr>
        <w:t>.</w:t>
      </w:r>
      <w:r w:rsidRPr="00812C34">
        <w:rPr>
          <w:rFonts w:asciiTheme="majorHAnsi" w:hAnsiTheme="majorHAnsi" w:cstheme="majorHAnsi"/>
          <w:position w:val="1"/>
        </w:rPr>
        <w:t>, Imamović B., Omeragić E. Optimization and Validation of Europium- Sensitized Fluorescence Method for Determination of Tetracycline Antibiotics in Water from Fish Farms. Bulletin of the Chemists and Technologists of Bosnia and Herzegovina, 2022. 59: pp. 11-16.</w:t>
      </w:r>
    </w:p>
    <w:p w14:paraId="6EE238FB" w14:textId="77777777" w:rsidR="00BC10DA" w:rsidRPr="00812C34" w:rsidRDefault="00BC10DA" w:rsidP="00BC10DA">
      <w:pPr>
        <w:pStyle w:val="ListParagraph"/>
        <w:tabs>
          <w:tab w:val="left" w:pos="1001"/>
        </w:tabs>
        <w:spacing w:line="250" w:lineRule="auto"/>
        <w:ind w:left="566" w:right="323"/>
        <w:rPr>
          <w:rFonts w:asciiTheme="majorHAnsi" w:hAnsiTheme="majorHAnsi" w:cstheme="majorHAnsi"/>
          <w:position w:val="1"/>
        </w:rPr>
      </w:pPr>
    </w:p>
    <w:p w14:paraId="77B0D803"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Fonts w:asciiTheme="majorHAnsi" w:hAnsiTheme="majorHAnsi" w:cstheme="majorHAnsi"/>
          <w:position w:val="1"/>
        </w:rPr>
      </w:pPr>
      <w:r w:rsidRPr="00812C34">
        <w:rPr>
          <w:rFonts w:asciiTheme="majorHAnsi" w:hAnsiTheme="majorHAnsi" w:cstheme="majorHAnsi"/>
          <w:position w:val="1"/>
        </w:rPr>
        <w:t xml:space="preserve">Omeragic, E., </w:t>
      </w:r>
      <w:r w:rsidRPr="00812C34">
        <w:rPr>
          <w:rFonts w:asciiTheme="majorHAnsi" w:hAnsiTheme="majorHAnsi" w:cstheme="majorHAnsi"/>
          <w:b/>
          <w:bCs/>
          <w:position w:val="1"/>
          <w:u w:val="single"/>
        </w:rPr>
        <w:t>Dedic, M.</w:t>
      </w:r>
      <w:r w:rsidRPr="00812C34">
        <w:rPr>
          <w:rFonts w:asciiTheme="majorHAnsi" w:hAnsiTheme="majorHAnsi" w:cstheme="majorHAnsi"/>
          <w:position w:val="1"/>
        </w:rPr>
        <w:t xml:space="preserve">, Elezovic, E., Bečić, E., Imamovic, B., Kladar, N., Niksic, H. Application of direct peptide reactivity assay in skin sensitization potential assessment of essential oils. Sci Rep 12, 7470 (2022). </w:t>
      </w:r>
      <w:hyperlink r:id="rId10" w:history="1">
        <w:r w:rsidRPr="00812C34">
          <w:rPr>
            <w:rStyle w:val="Hyperlink"/>
            <w:rFonts w:asciiTheme="majorHAnsi" w:hAnsiTheme="majorHAnsi" w:cstheme="majorHAnsi"/>
          </w:rPr>
          <w:t>https://doi.org/10.1038/s41598-022-11171-2</w:t>
        </w:r>
      </w:hyperlink>
    </w:p>
    <w:p w14:paraId="565BDB68" w14:textId="77777777" w:rsidR="00BC10DA" w:rsidRPr="00812C34" w:rsidRDefault="00BC10DA" w:rsidP="00BC10DA">
      <w:pPr>
        <w:tabs>
          <w:tab w:val="left" w:pos="1001"/>
        </w:tabs>
        <w:spacing w:line="250" w:lineRule="auto"/>
        <w:ind w:left="566" w:right="323"/>
        <w:rPr>
          <w:rFonts w:asciiTheme="majorHAnsi" w:hAnsiTheme="majorHAnsi" w:cstheme="majorHAnsi"/>
          <w:position w:val="1"/>
        </w:rPr>
      </w:pPr>
    </w:p>
    <w:p w14:paraId="1CFD096A" w14:textId="77777777" w:rsidR="00BC10DA" w:rsidRPr="00812C34" w:rsidRDefault="00BC10DA" w:rsidP="00BC10DA">
      <w:pPr>
        <w:pStyle w:val="ListParagraph"/>
        <w:widowControl w:val="0"/>
        <w:numPr>
          <w:ilvl w:val="0"/>
          <w:numId w:val="5"/>
        </w:numPr>
        <w:tabs>
          <w:tab w:val="left" w:pos="1001"/>
        </w:tabs>
        <w:autoSpaceDE w:val="0"/>
        <w:autoSpaceDN w:val="0"/>
        <w:spacing w:after="0" w:line="250" w:lineRule="auto"/>
        <w:ind w:right="323"/>
        <w:rPr>
          <w:rStyle w:val="Hyperlink"/>
          <w:rFonts w:asciiTheme="majorHAnsi" w:hAnsiTheme="majorHAnsi" w:cstheme="majorHAnsi"/>
        </w:rPr>
      </w:pPr>
      <w:r w:rsidRPr="00812C34">
        <w:rPr>
          <w:rFonts w:asciiTheme="majorHAnsi" w:hAnsiTheme="majorHAnsi" w:cstheme="majorHAnsi"/>
          <w:position w:val="1"/>
        </w:rPr>
        <w:t xml:space="preserve">Imamović B., Trebše P., Omeragić E., Bečić E., Pečet A., </w:t>
      </w:r>
      <w:r w:rsidRPr="00812C34">
        <w:rPr>
          <w:rFonts w:asciiTheme="majorHAnsi" w:hAnsiTheme="majorHAnsi" w:cstheme="majorHAnsi"/>
          <w:b/>
          <w:bCs/>
          <w:position w:val="1"/>
          <w:u w:val="single"/>
        </w:rPr>
        <w:t>Dedić M.</w:t>
      </w:r>
      <w:r w:rsidRPr="00812C34">
        <w:rPr>
          <w:rFonts w:asciiTheme="majorHAnsi" w:hAnsiTheme="majorHAnsi" w:cstheme="majorHAnsi"/>
          <w:position w:val="1"/>
        </w:rPr>
        <w:t xml:space="preserve"> Stability and Removal of Benzophenone-Type UV Filters from Water Matrices by Advanced Oxidation Processes. Molecules 2022, 27, 1874. </w:t>
      </w:r>
      <w:hyperlink r:id="rId11" w:history="1">
        <w:r w:rsidRPr="00812C34">
          <w:rPr>
            <w:rStyle w:val="Hyperlink"/>
            <w:rFonts w:asciiTheme="majorHAnsi" w:hAnsiTheme="majorHAnsi" w:cstheme="majorHAnsi"/>
          </w:rPr>
          <w:t>https://doi.org/10.3390/molecules27061874</w:t>
        </w:r>
      </w:hyperlink>
    </w:p>
    <w:p w14:paraId="325ED8D0" w14:textId="77777777" w:rsidR="00BC10DA" w:rsidRPr="00812C34" w:rsidRDefault="00BC10DA" w:rsidP="00BC10DA">
      <w:pPr>
        <w:rPr>
          <w:rFonts w:asciiTheme="majorHAnsi" w:hAnsiTheme="majorHAnsi" w:cstheme="majorHAnsi"/>
          <w:b/>
        </w:rPr>
      </w:pPr>
    </w:p>
    <w:p w14:paraId="71C22EE6" w14:textId="77777777" w:rsidR="008D105F" w:rsidRDefault="008D105F"/>
    <w:sectPr w:rsidR="008D105F" w:rsidSect="00BC10DA">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B85"/>
    <w:multiLevelType w:val="hybridMultilevel"/>
    <w:tmpl w:val="32FEA0F6"/>
    <w:lvl w:ilvl="0" w:tplc="141A0001">
      <w:start w:val="1"/>
      <w:numFmt w:val="bullet"/>
      <w:lvlText w:val=""/>
      <w:lvlJc w:val="left"/>
      <w:pPr>
        <w:ind w:left="1146" w:hanging="360"/>
      </w:pPr>
      <w:rPr>
        <w:rFonts w:ascii="Symbol" w:hAnsi="Symbol" w:hint="default"/>
      </w:rPr>
    </w:lvl>
    <w:lvl w:ilvl="1" w:tplc="141A0003" w:tentative="1">
      <w:start w:val="1"/>
      <w:numFmt w:val="bullet"/>
      <w:lvlText w:val="o"/>
      <w:lvlJc w:val="left"/>
      <w:pPr>
        <w:ind w:left="1866" w:hanging="360"/>
      </w:pPr>
      <w:rPr>
        <w:rFonts w:ascii="Courier New" w:hAnsi="Courier New" w:cs="Courier New" w:hint="default"/>
      </w:rPr>
    </w:lvl>
    <w:lvl w:ilvl="2" w:tplc="141A0005" w:tentative="1">
      <w:start w:val="1"/>
      <w:numFmt w:val="bullet"/>
      <w:lvlText w:val=""/>
      <w:lvlJc w:val="left"/>
      <w:pPr>
        <w:ind w:left="2586" w:hanging="360"/>
      </w:pPr>
      <w:rPr>
        <w:rFonts w:ascii="Wingdings" w:hAnsi="Wingdings" w:hint="default"/>
      </w:rPr>
    </w:lvl>
    <w:lvl w:ilvl="3" w:tplc="141A0001" w:tentative="1">
      <w:start w:val="1"/>
      <w:numFmt w:val="bullet"/>
      <w:lvlText w:val=""/>
      <w:lvlJc w:val="left"/>
      <w:pPr>
        <w:ind w:left="3306" w:hanging="360"/>
      </w:pPr>
      <w:rPr>
        <w:rFonts w:ascii="Symbol" w:hAnsi="Symbol" w:hint="default"/>
      </w:rPr>
    </w:lvl>
    <w:lvl w:ilvl="4" w:tplc="141A0003" w:tentative="1">
      <w:start w:val="1"/>
      <w:numFmt w:val="bullet"/>
      <w:lvlText w:val="o"/>
      <w:lvlJc w:val="left"/>
      <w:pPr>
        <w:ind w:left="4026" w:hanging="360"/>
      </w:pPr>
      <w:rPr>
        <w:rFonts w:ascii="Courier New" w:hAnsi="Courier New" w:cs="Courier New" w:hint="default"/>
      </w:rPr>
    </w:lvl>
    <w:lvl w:ilvl="5" w:tplc="141A0005" w:tentative="1">
      <w:start w:val="1"/>
      <w:numFmt w:val="bullet"/>
      <w:lvlText w:val=""/>
      <w:lvlJc w:val="left"/>
      <w:pPr>
        <w:ind w:left="4746" w:hanging="360"/>
      </w:pPr>
      <w:rPr>
        <w:rFonts w:ascii="Wingdings" w:hAnsi="Wingdings" w:hint="default"/>
      </w:rPr>
    </w:lvl>
    <w:lvl w:ilvl="6" w:tplc="141A0001" w:tentative="1">
      <w:start w:val="1"/>
      <w:numFmt w:val="bullet"/>
      <w:lvlText w:val=""/>
      <w:lvlJc w:val="left"/>
      <w:pPr>
        <w:ind w:left="5466" w:hanging="360"/>
      </w:pPr>
      <w:rPr>
        <w:rFonts w:ascii="Symbol" w:hAnsi="Symbol" w:hint="default"/>
      </w:rPr>
    </w:lvl>
    <w:lvl w:ilvl="7" w:tplc="141A0003" w:tentative="1">
      <w:start w:val="1"/>
      <w:numFmt w:val="bullet"/>
      <w:lvlText w:val="o"/>
      <w:lvlJc w:val="left"/>
      <w:pPr>
        <w:ind w:left="6186" w:hanging="360"/>
      </w:pPr>
      <w:rPr>
        <w:rFonts w:ascii="Courier New" w:hAnsi="Courier New" w:cs="Courier New" w:hint="default"/>
      </w:rPr>
    </w:lvl>
    <w:lvl w:ilvl="8" w:tplc="141A0005" w:tentative="1">
      <w:start w:val="1"/>
      <w:numFmt w:val="bullet"/>
      <w:lvlText w:val=""/>
      <w:lvlJc w:val="left"/>
      <w:pPr>
        <w:ind w:left="6906" w:hanging="360"/>
      </w:pPr>
      <w:rPr>
        <w:rFonts w:ascii="Wingdings" w:hAnsi="Wingdings" w:hint="default"/>
      </w:rPr>
    </w:lvl>
  </w:abstractNum>
  <w:abstractNum w:abstractNumId="1" w15:restartNumberingAfterBreak="0">
    <w:nsid w:val="271C14B2"/>
    <w:multiLevelType w:val="multilevel"/>
    <w:tmpl w:val="3042A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DA4D0E"/>
    <w:multiLevelType w:val="multilevel"/>
    <w:tmpl w:val="92E04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C11091"/>
    <w:multiLevelType w:val="multilevel"/>
    <w:tmpl w:val="3042A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B6572F"/>
    <w:multiLevelType w:val="multilevel"/>
    <w:tmpl w:val="BC30E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845541">
    <w:abstractNumId w:val="1"/>
  </w:num>
  <w:num w:numId="2" w16cid:durableId="33358329">
    <w:abstractNumId w:val="4"/>
  </w:num>
  <w:num w:numId="3" w16cid:durableId="1867863482">
    <w:abstractNumId w:val="2"/>
  </w:num>
  <w:num w:numId="4" w16cid:durableId="181628722">
    <w:abstractNumId w:val="0"/>
  </w:num>
  <w:num w:numId="5" w16cid:durableId="1182624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DA"/>
    <w:rsid w:val="00091EAB"/>
    <w:rsid w:val="002474A4"/>
    <w:rsid w:val="0034367F"/>
    <w:rsid w:val="008D105F"/>
    <w:rsid w:val="00BC10DA"/>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8D7"/>
  <w15:chartTrackingRefBased/>
  <w15:docId w15:val="{A86A8A40-8424-41D7-9707-09FCACB4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DA"/>
    <w:pPr>
      <w:spacing w:after="200" w:line="276" w:lineRule="auto"/>
    </w:pPr>
    <w:rPr>
      <w:rFonts w:ascii="Calibri" w:eastAsia="Calibri" w:hAnsi="Calibri" w:cs="Calibri"/>
      <w:kern w:val="0"/>
      <w:sz w:val="22"/>
      <w:szCs w:val="22"/>
      <w:lang w:val="bs-Latn-BA" w:eastAsia="bs-Latn-BA"/>
      <w14:ligatures w14:val="none"/>
    </w:rPr>
  </w:style>
  <w:style w:type="paragraph" w:styleId="Heading1">
    <w:name w:val="heading 1"/>
    <w:basedOn w:val="Normal"/>
    <w:next w:val="Normal"/>
    <w:link w:val="Heading1Char"/>
    <w:uiPriority w:val="9"/>
    <w:qFormat/>
    <w:rsid w:val="00BC1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0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0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0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0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0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0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0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0DA"/>
    <w:rPr>
      <w:rFonts w:eastAsiaTheme="majorEastAsia" w:cstheme="majorBidi"/>
      <w:color w:val="272727" w:themeColor="text1" w:themeTint="D8"/>
    </w:rPr>
  </w:style>
  <w:style w:type="paragraph" w:styleId="Title">
    <w:name w:val="Title"/>
    <w:basedOn w:val="Normal"/>
    <w:next w:val="Normal"/>
    <w:link w:val="TitleChar"/>
    <w:uiPriority w:val="10"/>
    <w:qFormat/>
    <w:rsid w:val="00BC1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0DA"/>
    <w:pPr>
      <w:spacing w:before="160"/>
      <w:jc w:val="center"/>
    </w:pPr>
    <w:rPr>
      <w:i/>
      <w:iCs/>
      <w:color w:val="404040" w:themeColor="text1" w:themeTint="BF"/>
    </w:rPr>
  </w:style>
  <w:style w:type="character" w:customStyle="1" w:styleId="QuoteChar">
    <w:name w:val="Quote Char"/>
    <w:basedOn w:val="DefaultParagraphFont"/>
    <w:link w:val="Quote"/>
    <w:uiPriority w:val="29"/>
    <w:rsid w:val="00BC10DA"/>
    <w:rPr>
      <w:i/>
      <w:iCs/>
      <w:color w:val="404040" w:themeColor="text1" w:themeTint="BF"/>
    </w:rPr>
  </w:style>
  <w:style w:type="paragraph" w:styleId="ListParagraph">
    <w:name w:val="List Paragraph"/>
    <w:basedOn w:val="Normal"/>
    <w:uiPriority w:val="34"/>
    <w:qFormat/>
    <w:rsid w:val="00BC10DA"/>
    <w:pPr>
      <w:ind w:left="720"/>
      <w:contextualSpacing/>
    </w:pPr>
  </w:style>
  <w:style w:type="character" w:styleId="IntenseEmphasis">
    <w:name w:val="Intense Emphasis"/>
    <w:basedOn w:val="DefaultParagraphFont"/>
    <w:uiPriority w:val="21"/>
    <w:qFormat/>
    <w:rsid w:val="00BC10DA"/>
    <w:rPr>
      <w:i/>
      <w:iCs/>
      <w:color w:val="2F5496" w:themeColor="accent1" w:themeShade="BF"/>
    </w:rPr>
  </w:style>
  <w:style w:type="paragraph" w:styleId="IntenseQuote">
    <w:name w:val="Intense Quote"/>
    <w:basedOn w:val="Normal"/>
    <w:next w:val="Normal"/>
    <w:link w:val="IntenseQuoteChar"/>
    <w:uiPriority w:val="30"/>
    <w:qFormat/>
    <w:rsid w:val="00BC1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0DA"/>
    <w:rPr>
      <w:i/>
      <w:iCs/>
      <w:color w:val="2F5496" w:themeColor="accent1" w:themeShade="BF"/>
    </w:rPr>
  </w:style>
  <w:style w:type="character" w:styleId="IntenseReference">
    <w:name w:val="Intense Reference"/>
    <w:basedOn w:val="DefaultParagraphFont"/>
    <w:uiPriority w:val="32"/>
    <w:qFormat/>
    <w:rsid w:val="00BC10DA"/>
    <w:rPr>
      <w:b/>
      <w:bCs/>
      <w:smallCaps/>
      <w:color w:val="2F5496" w:themeColor="accent1" w:themeShade="BF"/>
      <w:spacing w:val="5"/>
    </w:rPr>
  </w:style>
  <w:style w:type="paragraph" w:customStyle="1" w:styleId="ECVSectionDetails">
    <w:name w:val="_ECV_SectionDetails"/>
    <w:basedOn w:val="Normal"/>
    <w:rsid w:val="00BC10DA"/>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hi-IN" w:bidi="hi-IN"/>
    </w:rPr>
  </w:style>
  <w:style w:type="character" w:styleId="Hyperlink">
    <w:name w:val="Hyperlink"/>
    <w:uiPriority w:val="99"/>
    <w:rsid w:val="00BC10DA"/>
    <w:rPr>
      <w:color w:val="000080"/>
      <w:u w:val="single"/>
    </w:rPr>
  </w:style>
  <w:style w:type="paragraph" w:customStyle="1" w:styleId="Default">
    <w:name w:val="Default"/>
    <w:rsid w:val="00BC10DA"/>
    <w:pPr>
      <w:autoSpaceDE w:val="0"/>
      <w:autoSpaceDN w:val="0"/>
      <w:adjustRightInd w:val="0"/>
      <w:spacing w:after="0" w:line="240" w:lineRule="auto"/>
    </w:pPr>
    <w:rPr>
      <w:rFonts w:ascii="Times New Roman" w:eastAsia="Calibri" w:hAnsi="Times New Roman" w:cs="Times New Roman"/>
      <w:color w:val="000000"/>
      <w:kern w:val="0"/>
      <w:lang w:val="bs-Latn-BA" w:eastAsia="bs-Latn-B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oi=bibs&amp;cluster=15300754177027599198&amp;btnI=1&amp;hl=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3233/thc-2317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255/KUI.2023.018" TargetMode="External"/><Relationship Id="rId11" Type="http://schemas.openxmlformats.org/officeDocument/2006/relationships/hyperlink" Target="https://doi.org/10.3390/molecules27061874" TargetMode="External"/><Relationship Id="rId5" Type="http://schemas.openxmlformats.org/officeDocument/2006/relationships/hyperlink" Target="https://doi.org/10.5937/arhfarm74-49552" TargetMode="External"/><Relationship Id="rId10" Type="http://schemas.openxmlformats.org/officeDocument/2006/relationships/hyperlink" Target="https://doi.org/10.1038/s41598-022-11171-2" TargetMode="External"/><Relationship Id="rId4" Type="http://schemas.openxmlformats.org/officeDocument/2006/relationships/webSettings" Target="webSettings.xml"/><Relationship Id="rId9" Type="http://schemas.openxmlformats.org/officeDocument/2006/relationships/hyperlink" Target="https://doi.org/10.21506/j.ponte.202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2025-11-03T08:56:00Z</dcterms:created>
  <dcterms:modified xsi:type="dcterms:W3CDTF">2025-11-03T08:56:00Z</dcterms:modified>
</cp:coreProperties>
</file>