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D742" w14:textId="77777777" w:rsidR="007F7FE1" w:rsidRDefault="007F7FE1" w:rsidP="007F7FE1">
      <w:pPr>
        <w:rPr>
          <w:b/>
        </w:rPr>
      </w:pPr>
      <w:r>
        <w:rPr>
          <w:b/>
        </w:rPr>
        <w:t>Mirza Dedić</w:t>
      </w:r>
    </w:p>
    <w:p w14:paraId="41B7D1C6" w14:textId="77777777" w:rsidR="007F7FE1" w:rsidRDefault="007F7FE1" w:rsidP="007F7FE1"/>
    <w:p w14:paraId="43F767C1" w14:textId="77777777" w:rsidR="007F7FE1" w:rsidRDefault="007F7FE1" w:rsidP="007F7FE1">
      <w:pPr>
        <w:rPr>
          <w:b/>
        </w:rPr>
      </w:pPr>
      <w:r>
        <w:rPr>
          <w:b/>
        </w:rPr>
        <w:t>Radno iskustvo:</w:t>
      </w:r>
    </w:p>
    <w:p w14:paraId="05543441" w14:textId="77777777" w:rsidR="007F7FE1" w:rsidRPr="005D6838" w:rsidRDefault="007F7FE1" w:rsidP="007F7F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5D6838">
        <w:rPr>
          <w:color w:val="000000"/>
        </w:rPr>
        <w:t>2023</w:t>
      </w:r>
      <w:r w:rsidRPr="005D6838">
        <w:rPr>
          <w:rFonts w:cs="Arial"/>
        </w:rPr>
        <w:t xml:space="preserve">- </w:t>
      </w:r>
      <w:r>
        <w:rPr>
          <w:rFonts w:cs="Arial"/>
        </w:rPr>
        <w:t>Trenutno</w:t>
      </w:r>
      <w:r w:rsidRPr="005D6838">
        <w:rPr>
          <w:rFonts w:cs="Arial"/>
        </w:rPr>
        <w:t xml:space="preserve"> </w:t>
      </w:r>
      <w:r>
        <w:rPr>
          <w:rFonts w:cs="Arial"/>
        </w:rPr>
        <w:t xml:space="preserve">– </w:t>
      </w:r>
      <w:r>
        <w:rPr>
          <w:color w:val="000000"/>
        </w:rPr>
        <w:t>Vanredni profesor</w:t>
      </w:r>
    </w:p>
    <w:p w14:paraId="0A654CA0" w14:textId="77777777" w:rsidR="007F7FE1" w:rsidRPr="005D6838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Katedra za analitiku lijekova</w:t>
      </w:r>
    </w:p>
    <w:p w14:paraId="6B3953A4" w14:textId="77777777" w:rsidR="007F7FE1" w:rsidRPr="005D6838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 w:rsidRPr="005D6838">
        <w:rPr>
          <w:color w:val="000000"/>
        </w:rPr>
        <w:t>Univer</w:t>
      </w:r>
      <w:r>
        <w:rPr>
          <w:color w:val="000000"/>
        </w:rPr>
        <w:t>zitet u Sarajevu – Farmaceutski fakultet</w:t>
      </w:r>
    </w:p>
    <w:p w14:paraId="114A994A" w14:textId="77777777" w:rsidR="007F7FE1" w:rsidRDefault="007F7FE1" w:rsidP="007F7F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2018. Docent</w:t>
      </w:r>
    </w:p>
    <w:p w14:paraId="75E77622" w14:textId="77777777" w:rsidR="007F7FE1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Katedra za farmaceutsku analitiku</w:t>
      </w:r>
    </w:p>
    <w:p w14:paraId="4BABF6C7" w14:textId="77777777" w:rsidR="007F7FE1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Univerzitet u Sarajevu, Farmaceutski fakultet</w:t>
      </w:r>
    </w:p>
    <w:p w14:paraId="1F271706" w14:textId="77777777" w:rsidR="007F7FE1" w:rsidRDefault="007F7FE1" w:rsidP="007F7F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2013. Viši asistent</w:t>
      </w:r>
    </w:p>
    <w:p w14:paraId="39AAF5C8" w14:textId="77777777" w:rsidR="007F7FE1" w:rsidRPr="000A2D42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0A2D42">
        <w:rPr>
          <w:color w:val="000000"/>
        </w:rPr>
        <w:t>Katedra za farmaceutsku analitiku</w:t>
      </w:r>
    </w:p>
    <w:p w14:paraId="6EA3C0C3" w14:textId="77777777" w:rsidR="007F7FE1" w:rsidRPr="000A2D42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0A2D42">
        <w:rPr>
          <w:color w:val="000000"/>
        </w:rPr>
        <w:t>Univerzitet u Sarajevu, Farmaceutski fakultet</w:t>
      </w:r>
    </w:p>
    <w:p w14:paraId="1B26E125" w14:textId="77777777" w:rsidR="007F7FE1" w:rsidRDefault="007F7FE1" w:rsidP="007F7F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2008. Asistent</w:t>
      </w:r>
    </w:p>
    <w:p w14:paraId="3D97F5EC" w14:textId="77777777" w:rsidR="007F7FE1" w:rsidRPr="000A2D42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0A2D42">
        <w:rPr>
          <w:color w:val="000000"/>
        </w:rPr>
        <w:t>Katedra za farmaceutsku analitiku</w:t>
      </w:r>
    </w:p>
    <w:p w14:paraId="09C24265" w14:textId="77777777" w:rsidR="007F7FE1" w:rsidRPr="000A2D42" w:rsidRDefault="007F7FE1" w:rsidP="007F7FE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A2D42">
        <w:rPr>
          <w:color w:val="000000"/>
        </w:rPr>
        <w:t>Univerzitet u Sarajevu, Farmaceutski fakultet</w:t>
      </w:r>
    </w:p>
    <w:p w14:paraId="7C79C021" w14:textId="77777777" w:rsidR="007F7FE1" w:rsidRDefault="007F7FE1" w:rsidP="007F7FE1">
      <w:pPr>
        <w:rPr>
          <w:b/>
        </w:rPr>
      </w:pPr>
      <w:r>
        <w:rPr>
          <w:b/>
        </w:rPr>
        <w:t xml:space="preserve">Obrazovanje: </w:t>
      </w:r>
    </w:p>
    <w:p w14:paraId="65CCAEF7" w14:textId="77777777" w:rsidR="007F7FE1" w:rsidRDefault="007F7FE1" w:rsidP="007F7F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2018. Dr. Sci.</w:t>
      </w:r>
    </w:p>
    <w:p w14:paraId="78613908" w14:textId="77777777" w:rsidR="007F7FE1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Doktorska disertacija: „</w:t>
      </w:r>
      <w:r w:rsidRPr="007F6F43">
        <w:rPr>
          <w:rFonts w:cs="Arial"/>
          <w:i/>
          <w:iCs/>
        </w:rPr>
        <w:t>Određivanje rezidualnih antibiotika u različitim vrstama meda u Bosni i Hercegovini</w:t>
      </w:r>
      <w:r>
        <w:rPr>
          <w:color w:val="000000"/>
        </w:rPr>
        <w:t>“</w:t>
      </w:r>
    </w:p>
    <w:p w14:paraId="44D5D90C" w14:textId="77777777" w:rsidR="007F7FE1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 w:rsidRPr="000A2D42">
        <w:rPr>
          <w:color w:val="000000"/>
        </w:rPr>
        <w:t>Univerzitet u Sarajevu, Farmaceutski fakultet</w:t>
      </w:r>
    </w:p>
    <w:p w14:paraId="5AF485FD" w14:textId="77777777" w:rsidR="007F7FE1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14:paraId="71C51293" w14:textId="77777777" w:rsidR="007F7FE1" w:rsidRPr="000A2D42" w:rsidRDefault="007F7FE1" w:rsidP="007F7F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0A2D42">
        <w:rPr>
          <w:color w:val="000000"/>
        </w:rPr>
        <w:t>Specijalista iz Ispitivanja i kontrole lijekova</w:t>
      </w:r>
    </w:p>
    <w:p w14:paraId="30667F2C" w14:textId="77777777" w:rsidR="007F7FE1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Tema specijalističkog rada: </w:t>
      </w:r>
      <w:r w:rsidRPr="007F6F43">
        <w:rPr>
          <w:rFonts w:cs="Arial"/>
          <w:i/>
          <w:iCs/>
        </w:rPr>
        <w:t>Kontrola kvalitete magistralnog preparata 1% klindamicin losiona u toku perioda primjene</w:t>
      </w:r>
      <w:r>
        <w:rPr>
          <w:color w:val="000000"/>
        </w:rPr>
        <w:t>.</w:t>
      </w:r>
    </w:p>
    <w:p w14:paraId="672998DE" w14:textId="77777777" w:rsidR="007F7FE1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 w:rsidRPr="000A2D42">
        <w:rPr>
          <w:color w:val="000000"/>
        </w:rPr>
        <w:t>Univerzitet u Sarajevu, Farmaceutski fakultet</w:t>
      </w:r>
    </w:p>
    <w:p w14:paraId="41DA6D57" w14:textId="77777777" w:rsidR="007F7FE1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14:paraId="73A183A3" w14:textId="77777777" w:rsidR="007F7FE1" w:rsidRDefault="007F7FE1" w:rsidP="007F7F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2013. Mr. Sci</w:t>
      </w:r>
    </w:p>
    <w:p w14:paraId="1643E6AC" w14:textId="77777777" w:rsidR="007F7FE1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Tema magistarskog rada: </w:t>
      </w:r>
      <w:r w:rsidRPr="007F6F43">
        <w:rPr>
          <w:rFonts w:cs="Arial"/>
        </w:rPr>
        <w:t>Određivanje timola, karvakrola, i primulasaponina u herbalnim sirupima</w:t>
      </w:r>
      <w:r>
        <w:rPr>
          <w:rFonts w:cs="Arial"/>
        </w:rPr>
        <w:t>.</w:t>
      </w:r>
      <w:r>
        <w:rPr>
          <w:color w:val="000000"/>
        </w:rPr>
        <w:t xml:space="preserve"> </w:t>
      </w:r>
    </w:p>
    <w:p w14:paraId="45F52209" w14:textId="77777777" w:rsidR="007F7FE1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 w:rsidRPr="000A2D42">
        <w:rPr>
          <w:color w:val="000000"/>
        </w:rPr>
        <w:t>Univerzitet u Sarajevu, Farmaceutski fakultet</w:t>
      </w:r>
    </w:p>
    <w:p w14:paraId="68278D08" w14:textId="77777777" w:rsidR="007F7FE1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14:paraId="505A5CF9" w14:textId="77777777" w:rsidR="007F7FE1" w:rsidRDefault="007F7FE1" w:rsidP="007F7F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2007. Mr. Ph.- Prosjek ocjena – 8.60</w:t>
      </w:r>
    </w:p>
    <w:p w14:paraId="35AD99F8" w14:textId="77777777" w:rsidR="007F7FE1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Tema diplomskog rada: </w:t>
      </w:r>
      <w:r w:rsidRPr="007F6F43">
        <w:rPr>
          <w:rFonts w:cs="Arial"/>
        </w:rPr>
        <w:t>Celuloza i derivati celuloze u izradi čvrstih farmaceutskih oblika</w:t>
      </w:r>
      <w:r>
        <w:rPr>
          <w:color w:val="000000"/>
        </w:rPr>
        <w:t>.</w:t>
      </w:r>
    </w:p>
    <w:p w14:paraId="5FF88CF1" w14:textId="77777777" w:rsidR="007F7FE1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 w:rsidRPr="000A2D42">
        <w:rPr>
          <w:color w:val="000000"/>
        </w:rPr>
        <w:t>Univerzitet u Sarajevu, Farmaceutski fakultet</w:t>
      </w:r>
    </w:p>
    <w:p w14:paraId="5D43EF30" w14:textId="77777777" w:rsidR="007F7FE1" w:rsidRDefault="007F7FE1" w:rsidP="007F7FE1"/>
    <w:p w14:paraId="123BE506" w14:textId="77777777" w:rsidR="007F7FE1" w:rsidRDefault="007F7FE1" w:rsidP="007F7FE1">
      <w:pPr>
        <w:rPr>
          <w:b/>
        </w:rPr>
      </w:pPr>
      <w:r>
        <w:rPr>
          <w:b/>
        </w:rPr>
        <w:t xml:space="preserve">Akademski/ nastavni rad: </w:t>
      </w:r>
    </w:p>
    <w:p w14:paraId="1ECDCFD4" w14:textId="77777777" w:rsidR="007F7FE1" w:rsidRDefault="007F7FE1" w:rsidP="007F7F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1" w:name="_30j0zll" w:colFirst="0" w:colLast="0"/>
      <w:bookmarkEnd w:id="1"/>
      <w:r w:rsidRPr="009B4B0A">
        <w:rPr>
          <w:color w:val="000000"/>
        </w:rPr>
        <w:t>Učestvuje u praktičnoj i teorijskoj nastavi na Integrisanom studiju 1. i 2. ciklusa iz: obaveznih predmeta</w:t>
      </w:r>
      <w:r>
        <w:rPr>
          <w:color w:val="000000"/>
        </w:rPr>
        <w:t>: "Kontrola lijekova I" i "Kontrola lijekova II", izbornih predmeta: "Odabrana poglavlja iz Kontrole lijekova – Dobra kontrolno laboratorijska praksa" "</w:t>
      </w:r>
      <w:r w:rsidRPr="009B4B0A">
        <w:rPr>
          <w:color w:val="000000"/>
        </w:rPr>
        <w:t xml:space="preserve"> </w:t>
      </w:r>
      <w:r>
        <w:rPr>
          <w:color w:val="000000"/>
        </w:rPr>
        <w:t>Odabrana poglavlja iz Kontrole lijekova – Nečistoće u lijekovima" "</w:t>
      </w:r>
      <w:r w:rsidRPr="009B4B0A">
        <w:rPr>
          <w:color w:val="000000"/>
        </w:rPr>
        <w:t xml:space="preserve"> </w:t>
      </w:r>
      <w:r>
        <w:rPr>
          <w:color w:val="000000"/>
        </w:rPr>
        <w:t xml:space="preserve">Odabrana poglavlja iz Kontrole lijekova – Kontrola kvalitete graničnih medicinskih proizvoda". </w:t>
      </w:r>
    </w:p>
    <w:p w14:paraId="58AAB7C7" w14:textId="77777777" w:rsidR="007F7FE1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BF4580">
        <w:rPr>
          <w:b/>
          <w:color w:val="000000"/>
        </w:rPr>
        <w:lastRenderedPageBreak/>
        <w:t>Ostale akademske pozicije i angažmani</w:t>
      </w:r>
      <w:r>
        <w:rPr>
          <w:b/>
          <w:color w:val="000000"/>
        </w:rPr>
        <w:t>:</w:t>
      </w:r>
    </w:p>
    <w:p w14:paraId="28593D3D" w14:textId="77777777" w:rsidR="007F7FE1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28F0EE0" w14:textId="77777777" w:rsidR="007F7FE1" w:rsidRPr="005D6838" w:rsidRDefault="007F7FE1" w:rsidP="007F7F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7F6F43">
        <w:rPr>
          <w:rFonts w:cs="Arial"/>
        </w:rPr>
        <w:t>2022-</w:t>
      </w:r>
      <w:r>
        <w:rPr>
          <w:rFonts w:cs="Arial"/>
        </w:rPr>
        <w:t xml:space="preserve"> Trenutno – Prodekan za nastavu i studentska pitanja</w:t>
      </w:r>
    </w:p>
    <w:p w14:paraId="453A6651" w14:textId="77777777" w:rsidR="007F7FE1" w:rsidRPr="00ED5F04" w:rsidRDefault="007F7FE1" w:rsidP="007F7F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7F6F43">
        <w:rPr>
          <w:rFonts w:cs="Arial"/>
        </w:rPr>
        <w:t>2020-</w:t>
      </w:r>
      <w:r>
        <w:rPr>
          <w:rFonts w:cs="Arial"/>
        </w:rPr>
        <w:t xml:space="preserve"> Trenutno -</w:t>
      </w:r>
      <w:r w:rsidRPr="005D6838">
        <w:t xml:space="preserve"> </w:t>
      </w:r>
      <w:r w:rsidRPr="00E75549">
        <w:t>Lo</w:t>
      </w:r>
      <w:r>
        <w:t>kalni</w:t>
      </w:r>
      <w:r w:rsidRPr="00E75549">
        <w:t xml:space="preserve"> CEEPUS </w:t>
      </w:r>
      <w:r>
        <w:t xml:space="preserve">koordinator: </w:t>
      </w:r>
    </w:p>
    <w:p w14:paraId="6C73FB15" w14:textId="77777777" w:rsidR="007F7FE1" w:rsidRDefault="007F7FE1" w:rsidP="007F7F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7F6F43">
        <w:rPr>
          <w:rFonts w:cs="Arial"/>
        </w:rPr>
        <w:t>Naziv mreže: "Education of Modern Analytical and Bioanalytical Methods" (Broj mreže: CIII-CZ-0212-14-2021)</w:t>
      </w:r>
    </w:p>
    <w:p w14:paraId="38743450" w14:textId="77777777" w:rsidR="007F7FE1" w:rsidRDefault="007F7FE1" w:rsidP="007F7F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color w:val="000000"/>
        </w:rPr>
      </w:pPr>
      <w:r>
        <w:rPr>
          <w:color w:val="000000"/>
        </w:rPr>
        <w:t xml:space="preserve">2019- </w:t>
      </w:r>
      <w:r>
        <w:t>2021</w:t>
      </w:r>
      <w:r>
        <w:rPr>
          <w:color w:val="000000"/>
        </w:rPr>
        <w:t>: Rukovodilaca Katedre za farmaceutsku informatiku i farmakoekonomiku.</w:t>
      </w:r>
    </w:p>
    <w:p w14:paraId="5D07B940" w14:textId="77777777" w:rsidR="007F7FE1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color w:val="000000"/>
        </w:rPr>
      </w:pPr>
    </w:p>
    <w:p w14:paraId="0C5AC470" w14:textId="77777777" w:rsidR="007F7FE1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b/>
          <w:color w:val="000000"/>
        </w:rPr>
      </w:pPr>
      <w:r>
        <w:rPr>
          <w:b/>
          <w:color w:val="000000"/>
        </w:rPr>
        <w:t xml:space="preserve">Projects: </w:t>
      </w:r>
    </w:p>
    <w:p w14:paraId="112EBDA7" w14:textId="77777777" w:rsidR="007F7FE1" w:rsidRDefault="007F7FE1" w:rsidP="007F7FE1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b/>
          <w:color w:val="000000"/>
        </w:rPr>
      </w:pPr>
    </w:p>
    <w:p w14:paraId="492E75A7" w14:textId="77777777" w:rsidR="007F7FE1" w:rsidRPr="00A9449B" w:rsidRDefault="007F7FE1" w:rsidP="007F7FE1">
      <w:pPr>
        <w:pStyle w:val="ECVSectionDetails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  <w:lang w:val="bs-Latn-BA"/>
        </w:rPr>
      </w:pPr>
      <w:bookmarkStart w:id="2" w:name="Alternativne_metode_za_određivanje_rezid"/>
      <w:bookmarkStart w:id="3" w:name="Ispitivanje_farmakološkog_djelovanja_mag"/>
      <w:bookmarkEnd w:id="2"/>
      <w:bookmarkEnd w:id="3"/>
      <w:r w:rsidRPr="00A9449B">
        <w:rPr>
          <w:rFonts w:asciiTheme="majorHAnsi" w:hAnsiTheme="majorHAnsi" w:cstheme="majorHAnsi"/>
          <w:b/>
          <w:bCs/>
          <w:sz w:val="22"/>
          <w:szCs w:val="22"/>
          <w:lang w:val="bs-Latn-BA"/>
        </w:rPr>
        <w:t>Virtuelne laboratorije u obrazovanju farmaceuta.</w:t>
      </w:r>
      <w:r w:rsidRPr="00A9449B">
        <w:rPr>
          <w:rFonts w:asciiTheme="majorHAnsi" w:hAnsiTheme="majorHAnsi" w:cstheme="majorHAnsi"/>
          <w:sz w:val="22"/>
          <w:szCs w:val="22"/>
          <w:lang w:val="bs-Latn-BA"/>
        </w:rPr>
        <w:t xml:space="preserve">  Saradnik na projektu. Projekat finansiran od strane Ministarstva za nauku, visoko obrazovanje i mlade Kantona Sarajevo. 01.10.2022– 31.12.2023. (Projekat u toku)</w:t>
      </w:r>
    </w:p>
    <w:p w14:paraId="1664542C" w14:textId="77777777" w:rsidR="007F7FE1" w:rsidRPr="00A9449B" w:rsidRDefault="007F7FE1" w:rsidP="007F7FE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  <w:b/>
          <w:bCs/>
        </w:rPr>
      </w:pPr>
      <w:r w:rsidRPr="00A9449B">
        <w:rPr>
          <w:rFonts w:asciiTheme="majorHAnsi" w:hAnsiTheme="majorHAnsi" w:cstheme="majorHAnsi"/>
          <w:b/>
          <w:bCs/>
        </w:rPr>
        <w:t>Uticaj aerosola različitih duhanskih proizvoda na zdravlje pojedinca i zajednice.</w:t>
      </w:r>
      <w:r w:rsidRPr="00A9449B">
        <w:rPr>
          <w:rFonts w:asciiTheme="majorHAnsi" w:hAnsiTheme="majorHAnsi" w:cstheme="majorHAnsi"/>
        </w:rPr>
        <w:t xml:space="preserve"> Voditelj projekta. Projekat finansiran od strane Ministarstva za nauku, visoko obrazovanje i mlade Kantona Sarajevo. 01.01.2022– 31.12.2022. (Projekat u toku)</w:t>
      </w:r>
    </w:p>
    <w:p w14:paraId="21FDE0EC" w14:textId="77777777" w:rsidR="007F7FE1" w:rsidRPr="00A9449B" w:rsidRDefault="007F7FE1" w:rsidP="007F7FE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  <w:b/>
          <w:bCs/>
        </w:rPr>
      </w:pPr>
      <w:r w:rsidRPr="00A9449B">
        <w:rPr>
          <w:rFonts w:asciiTheme="majorHAnsi" w:hAnsiTheme="majorHAnsi" w:cstheme="majorHAnsi"/>
          <w:b/>
          <w:bCs/>
        </w:rPr>
        <w:t xml:space="preserve">Ispitivanje stabilnosti UV filtera u kremama za sunčanje i određivanje toksičnih svojstava degradacionih produkata. </w:t>
      </w:r>
      <w:r w:rsidRPr="00A9449B">
        <w:rPr>
          <w:rFonts w:asciiTheme="majorHAnsi" w:hAnsiTheme="majorHAnsi" w:cstheme="majorHAnsi"/>
        </w:rPr>
        <w:t>Saradnik na projektu.</w:t>
      </w:r>
      <w:r w:rsidRPr="00A9449B">
        <w:rPr>
          <w:rFonts w:asciiTheme="majorHAnsi" w:hAnsiTheme="majorHAnsi" w:cstheme="majorHAnsi"/>
          <w:noProof/>
          <w:color w:val="000000"/>
        </w:rPr>
        <w:t xml:space="preserve"> </w:t>
      </w:r>
      <w:r w:rsidRPr="00A9449B">
        <w:rPr>
          <w:rFonts w:asciiTheme="majorHAnsi" w:hAnsiTheme="majorHAnsi" w:cstheme="majorHAnsi"/>
        </w:rPr>
        <w:t xml:space="preserve">Projekat finansiran od strane: </w:t>
      </w:r>
      <w:r w:rsidRPr="00A9449B">
        <w:rPr>
          <w:rFonts w:asciiTheme="majorHAnsi" w:hAnsiTheme="majorHAnsi" w:cstheme="majorHAnsi"/>
          <w:noProof/>
          <w:color w:val="000000"/>
        </w:rPr>
        <w:t xml:space="preserve"> Federalno ministarstvo obrazovanje i nauke</w:t>
      </w:r>
      <w:r w:rsidRPr="00A9449B">
        <w:rPr>
          <w:rFonts w:asciiTheme="majorHAnsi" w:hAnsiTheme="majorHAnsi" w:cstheme="majorHAnsi"/>
        </w:rPr>
        <w:t>. 01.07.</w:t>
      </w:r>
      <w:r w:rsidRPr="00A9449B">
        <w:rPr>
          <w:rFonts w:asciiTheme="majorHAnsi" w:hAnsiTheme="majorHAnsi" w:cstheme="majorHAnsi"/>
          <w:noProof/>
          <w:color w:val="000000"/>
        </w:rPr>
        <w:t>2021.- 30.06.2023. godine. (Projekat je u toku)</w:t>
      </w:r>
    </w:p>
    <w:p w14:paraId="23AA7568" w14:textId="77777777" w:rsidR="007F7FE1" w:rsidRPr="00A9449B" w:rsidRDefault="007F7FE1" w:rsidP="007F7FE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</w:rPr>
      </w:pPr>
      <w:r w:rsidRPr="00A9449B">
        <w:rPr>
          <w:rFonts w:asciiTheme="majorHAnsi" w:hAnsiTheme="majorHAnsi" w:cstheme="majorHAnsi"/>
          <w:b/>
          <w:bCs/>
        </w:rPr>
        <w:t>Innovating quality assessment tools for pharmacy studies in Bosnia and Herzegovina.</w:t>
      </w:r>
      <w:r w:rsidRPr="00A9449B">
        <w:rPr>
          <w:rFonts w:asciiTheme="majorHAnsi" w:hAnsiTheme="majorHAnsi" w:cstheme="majorHAnsi"/>
        </w:rPr>
        <w:t xml:space="preserve"> Saradnik na projektu. Erasmus + Capacity Building in the field of Higher Education 2020. Call EAC/A02/2019. Project implemented and funded by European Commission. 15.01.2021– 15.01.2024.</w:t>
      </w:r>
    </w:p>
    <w:p w14:paraId="5D66EF0C" w14:textId="77777777" w:rsidR="007F7FE1" w:rsidRPr="00A9449B" w:rsidRDefault="007F7FE1" w:rsidP="007F7FE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  <w:b/>
          <w:bCs/>
        </w:rPr>
      </w:pPr>
      <w:r w:rsidRPr="00A9449B">
        <w:rPr>
          <w:rFonts w:asciiTheme="majorHAnsi" w:hAnsiTheme="majorHAnsi" w:cstheme="majorHAnsi"/>
        </w:rPr>
        <w:t xml:space="preserve">Javni poziv Ministarstva za obrazovanje, nauku i mlade Kantona Sarajevo za 2019. Program 6. Voditelj projekta. </w:t>
      </w:r>
      <w:r w:rsidRPr="00A9449B">
        <w:rPr>
          <w:rFonts w:asciiTheme="majorHAnsi" w:hAnsiTheme="majorHAnsi" w:cstheme="majorHAnsi"/>
          <w:b/>
          <w:bCs/>
        </w:rPr>
        <w:t>Nabavka HPLC aparata sa DAD i elektrohemijskim detektorom.</w:t>
      </w:r>
      <w:r w:rsidRPr="00A9449B">
        <w:rPr>
          <w:rFonts w:asciiTheme="majorHAnsi" w:hAnsiTheme="majorHAnsi" w:cstheme="majorHAnsi"/>
        </w:rPr>
        <w:t xml:space="preserve"> Projekat finansiran od strane Ministarstva za obrazovanje, nauku i mlade Kantona Sarajevo. 2019.</w:t>
      </w:r>
    </w:p>
    <w:p w14:paraId="50ED7826" w14:textId="77777777" w:rsidR="007F7FE1" w:rsidRPr="00A9449B" w:rsidRDefault="007F7FE1" w:rsidP="007F7FE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  <w:b/>
          <w:bCs/>
        </w:rPr>
      </w:pPr>
      <w:r w:rsidRPr="00A9449B">
        <w:rPr>
          <w:rFonts w:asciiTheme="majorHAnsi" w:hAnsiTheme="majorHAnsi" w:cstheme="majorHAnsi"/>
          <w:b/>
          <w:bCs/>
        </w:rPr>
        <w:t xml:space="preserve">Interaction between omeprazole and gliclazide in CYP2C19 normal/ ultrarapid metabolisers. </w:t>
      </w:r>
      <w:r w:rsidRPr="00A9449B">
        <w:rPr>
          <w:rFonts w:asciiTheme="majorHAnsi" w:hAnsiTheme="majorHAnsi" w:cstheme="majorHAnsi"/>
        </w:rPr>
        <w:t>Saradnik na projektu. Wellcome Trust Seed Award in Science. No. 209943/Z/17/Z. 01/07/2018 – 01/07/2020</w:t>
      </w:r>
    </w:p>
    <w:p w14:paraId="41272D03" w14:textId="77777777" w:rsidR="007F7FE1" w:rsidRPr="00A9449B" w:rsidRDefault="007F7FE1" w:rsidP="007F7FE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  <w:b/>
          <w:bCs/>
        </w:rPr>
      </w:pPr>
      <w:r w:rsidRPr="00A9449B">
        <w:rPr>
          <w:rFonts w:asciiTheme="majorHAnsi" w:hAnsiTheme="majorHAnsi" w:cstheme="majorHAnsi"/>
          <w:b/>
          <w:bCs/>
        </w:rPr>
        <w:t xml:space="preserve">Ispitivanje farmakološkog djelovanja magistralnih lijekova sa antimikrobnim i antiseptičkim djelova. </w:t>
      </w:r>
      <w:r w:rsidRPr="00A9449B">
        <w:rPr>
          <w:rFonts w:asciiTheme="majorHAnsi" w:hAnsiTheme="majorHAnsi" w:cstheme="majorHAnsi"/>
        </w:rPr>
        <w:t>Saradnik na projektu.Projekat finansiran od strane Ministarstva za obrazovanje, nauku i mlade Kantona Sarajevo. 2017 – 2018.</w:t>
      </w:r>
    </w:p>
    <w:p w14:paraId="16F69273" w14:textId="77777777" w:rsidR="007F7FE1" w:rsidRPr="00A9449B" w:rsidRDefault="007F7FE1" w:rsidP="007F7FE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  <w:b/>
          <w:bCs/>
        </w:rPr>
      </w:pPr>
      <w:r w:rsidRPr="00A9449B">
        <w:rPr>
          <w:rFonts w:asciiTheme="majorHAnsi" w:hAnsiTheme="majorHAnsi" w:cstheme="majorHAnsi"/>
          <w:b/>
          <w:bCs/>
        </w:rPr>
        <w:t xml:space="preserve">Alternativne metode za određivanje rezidua antibiotika u medu. </w:t>
      </w:r>
      <w:r w:rsidRPr="00A9449B">
        <w:rPr>
          <w:rFonts w:asciiTheme="majorHAnsi" w:hAnsiTheme="majorHAnsi" w:cstheme="majorHAnsi"/>
        </w:rPr>
        <w:t>Saradnik na projektu. Projekat finansiran od strane Federalnog ministarstva za obrazovanje i nauku. Br. 0101-7556-6/15. 2015 – 2016.</w:t>
      </w:r>
    </w:p>
    <w:p w14:paraId="0C5D0EC3" w14:textId="77777777" w:rsidR="007F7FE1" w:rsidRPr="00A9449B" w:rsidRDefault="007F7FE1" w:rsidP="007F7FE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  <w:b/>
          <w:color w:val="000000"/>
        </w:rPr>
      </w:pPr>
      <w:r w:rsidRPr="00A9449B">
        <w:rPr>
          <w:rFonts w:asciiTheme="majorHAnsi" w:hAnsiTheme="majorHAnsi" w:cstheme="majorHAnsi"/>
          <w:b/>
          <w:bCs/>
        </w:rPr>
        <w:t>A Common Future Based on Common Interests.</w:t>
      </w:r>
      <w:r w:rsidRPr="00A9449B">
        <w:rPr>
          <w:rFonts w:asciiTheme="majorHAnsi" w:hAnsiTheme="majorHAnsi" w:cstheme="majorHAnsi"/>
        </w:rPr>
        <w:t xml:space="preserve"> Saradnik na projektu. Društvo za medicinski i biološki inžinjering u Bosni i Hercegovini. Project implemented and funded by UNESCO, UNICEF and UNDP. 2015 – 2016.</w:t>
      </w:r>
    </w:p>
    <w:p w14:paraId="690BFF2B" w14:textId="77777777" w:rsidR="007F7FE1" w:rsidRDefault="007F7FE1" w:rsidP="007F7FE1"/>
    <w:p w14:paraId="0C48F488" w14:textId="77777777" w:rsidR="007F7FE1" w:rsidRDefault="007F7FE1" w:rsidP="007F7FE1">
      <w:pPr>
        <w:rPr>
          <w:b/>
          <w:sz w:val="24"/>
          <w:szCs w:val="24"/>
        </w:rPr>
      </w:pPr>
      <w:r>
        <w:rPr>
          <w:b/>
          <w:sz w:val="24"/>
          <w:szCs w:val="24"/>
        </w:rPr>
        <w:t>Selected publications (up to 10):</w:t>
      </w:r>
    </w:p>
    <w:p w14:paraId="65D9CC10" w14:textId="77777777" w:rsidR="007F7FE1" w:rsidRDefault="007F7FE1" w:rsidP="007F7FE1">
      <w:pPr>
        <w:rPr>
          <w:b/>
          <w:sz w:val="24"/>
          <w:szCs w:val="24"/>
        </w:rPr>
      </w:pPr>
    </w:p>
    <w:p w14:paraId="6F7666AA" w14:textId="77777777" w:rsidR="007F7FE1" w:rsidRPr="00812C34" w:rsidRDefault="007F7FE1" w:rsidP="007F7FE1">
      <w:pPr>
        <w:pStyle w:val="ListParagraph"/>
        <w:widowControl w:val="0"/>
        <w:numPr>
          <w:ilvl w:val="0"/>
          <w:numId w:val="3"/>
        </w:numPr>
        <w:tabs>
          <w:tab w:val="left" w:pos="1001"/>
        </w:tabs>
        <w:autoSpaceDE w:val="0"/>
        <w:autoSpaceDN w:val="0"/>
        <w:spacing w:after="0" w:line="250" w:lineRule="auto"/>
        <w:ind w:right="323"/>
        <w:rPr>
          <w:rFonts w:asciiTheme="majorHAnsi" w:hAnsiTheme="majorHAnsi" w:cstheme="majorHAnsi"/>
          <w:position w:val="1"/>
        </w:rPr>
      </w:pPr>
      <w:r w:rsidRPr="00812C34">
        <w:rPr>
          <w:rFonts w:asciiTheme="majorHAnsi" w:hAnsiTheme="majorHAnsi" w:cstheme="majorHAnsi"/>
          <w:position w:val="1"/>
          <w:lang w:val="en-GB"/>
        </w:rPr>
        <w:t xml:space="preserve">Omeragić, E., Imamović, B., </w:t>
      </w:r>
      <w:r w:rsidRPr="00812C34">
        <w:rPr>
          <w:rFonts w:asciiTheme="majorHAnsi" w:hAnsiTheme="majorHAnsi" w:cstheme="majorHAnsi"/>
          <w:b/>
          <w:bCs/>
          <w:position w:val="1"/>
          <w:u w:val="single"/>
          <w:lang w:val="en-GB"/>
        </w:rPr>
        <w:t>Dedić, M.</w:t>
      </w:r>
      <w:r w:rsidRPr="00812C34">
        <w:rPr>
          <w:rFonts w:asciiTheme="majorHAnsi" w:hAnsiTheme="majorHAnsi" w:cstheme="majorHAnsi"/>
          <w:position w:val="1"/>
          <w:lang w:val="en-GB"/>
        </w:rPr>
        <w:t xml:space="preserve">, Mujezin, I., &amp; Bečić, E. (2024). A comprehensive review of the direct peptide reactivity test in skin hypersensitivity testing - applicability, limitations and considerations. </w:t>
      </w:r>
      <w:r w:rsidRPr="00812C34">
        <w:rPr>
          <w:rFonts w:asciiTheme="majorHAnsi" w:hAnsiTheme="majorHAnsi" w:cstheme="majorHAnsi"/>
          <w:i/>
          <w:iCs/>
          <w:position w:val="1"/>
          <w:lang w:val="en-GB"/>
        </w:rPr>
        <w:t>Arhiv za farmaciju</w:t>
      </w:r>
      <w:r w:rsidRPr="00812C34">
        <w:rPr>
          <w:rFonts w:asciiTheme="majorHAnsi" w:hAnsiTheme="majorHAnsi" w:cstheme="majorHAnsi"/>
          <w:position w:val="1"/>
          <w:lang w:val="en-GB"/>
        </w:rPr>
        <w:t>, </w:t>
      </w:r>
      <w:r w:rsidRPr="00812C34">
        <w:rPr>
          <w:rFonts w:asciiTheme="majorHAnsi" w:hAnsiTheme="majorHAnsi" w:cstheme="majorHAnsi"/>
          <w:i/>
          <w:iCs/>
          <w:position w:val="1"/>
          <w:lang w:val="en-GB"/>
        </w:rPr>
        <w:t>74</w:t>
      </w:r>
      <w:r w:rsidRPr="00812C34">
        <w:rPr>
          <w:rFonts w:asciiTheme="majorHAnsi" w:hAnsiTheme="majorHAnsi" w:cstheme="majorHAnsi"/>
          <w:position w:val="1"/>
          <w:lang w:val="en-GB"/>
        </w:rPr>
        <w:t>(2), 118-132. </w:t>
      </w:r>
      <w:hyperlink r:id="rId5" w:tgtFrame="_blank" w:history="1">
        <w:r w:rsidRPr="00812C34">
          <w:rPr>
            <w:rStyle w:val="Hyperlink"/>
            <w:rFonts w:asciiTheme="majorHAnsi" w:hAnsiTheme="majorHAnsi" w:cstheme="majorHAnsi"/>
            <w:position w:val="1"/>
            <w:lang w:val="en-GB"/>
          </w:rPr>
          <w:t>https://doi.org/10.5937/arhfarm74-49552</w:t>
        </w:r>
      </w:hyperlink>
    </w:p>
    <w:p w14:paraId="2C4D7455" w14:textId="77777777" w:rsidR="007F7FE1" w:rsidRPr="00812C34" w:rsidRDefault="007F7FE1" w:rsidP="007F7FE1">
      <w:pPr>
        <w:pStyle w:val="ListParagraph"/>
        <w:tabs>
          <w:tab w:val="left" w:pos="1001"/>
        </w:tabs>
        <w:spacing w:line="250" w:lineRule="auto"/>
        <w:ind w:left="113" w:right="323"/>
        <w:rPr>
          <w:rFonts w:asciiTheme="majorHAnsi" w:hAnsiTheme="majorHAnsi" w:cstheme="majorHAnsi"/>
          <w:position w:val="1"/>
        </w:rPr>
      </w:pPr>
    </w:p>
    <w:p w14:paraId="32749C00" w14:textId="77777777" w:rsidR="007F7FE1" w:rsidRPr="00812C34" w:rsidRDefault="007F7FE1" w:rsidP="007F7FE1">
      <w:pPr>
        <w:pStyle w:val="ListParagraph"/>
        <w:widowControl w:val="0"/>
        <w:numPr>
          <w:ilvl w:val="0"/>
          <w:numId w:val="3"/>
        </w:numPr>
        <w:tabs>
          <w:tab w:val="left" w:pos="1001"/>
        </w:tabs>
        <w:autoSpaceDE w:val="0"/>
        <w:autoSpaceDN w:val="0"/>
        <w:spacing w:after="0" w:line="250" w:lineRule="auto"/>
        <w:ind w:right="323"/>
        <w:rPr>
          <w:rFonts w:asciiTheme="majorHAnsi" w:hAnsiTheme="majorHAnsi" w:cstheme="majorHAnsi"/>
          <w:position w:val="1"/>
        </w:rPr>
      </w:pPr>
      <w:r w:rsidRPr="00812C34">
        <w:rPr>
          <w:rFonts w:asciiTheme="majorHAnsi" w:hAnsiTheme="majorHAnsi" w:cstheme="majorHAnsi"/>
          <w:position w:val="1"/>
          <w:lang w:val="en-GB"/>
        </w:rPr>
        <w:lastRenderedPageBreak/>
        <w:t xml:space="preserve">Bečić, E., </w:t>
      </w:r>
      <w:r w:rsidRPr="00812C34">
        <w:rPr>
          <w:rFonts w:asciiTheme="majorHAnsi" w:hAnsiTheme="majorHAnsi" w:cstheme="majorHAnsi"/>
          <w:b/>
          <w:bCs/>
          <w:position w:val="1"/>
          <w:u w:val="single"/>
          <w:lang w:val="en-GB"/>
        </w:rPr>
        <w:t>Dedić, M.</w:t>
      </w:r>
      <w:r w:rsidRPr="00812C34">
        <w:rPr>
          <w:rFonts w:asciiTheme="majorHAnsi" w:hAnsiTheme="majorHAnsi" w:cstheme="majorHAnsi"/>
          <w:position w:val="1"/>
          <w:lang w:val="en-GB"/>
        </w:rPr>
        <w:t>, Imamović, B., Špirtović-Halilović, S. i Omeragić, E. (2024). Substituent and Solvent Effects on the Spectral Properties of 3-Substituted Derivatives of 4-Hydroxycoumarin. </w:t>
      </w:r>
      <w:r w:rsidRPr="00812C34">
        <w:rPr>
          <w:rFonts w:asciiTheme="majorHAnsi" w:hAnsiTheme="majorHAnsi" w:cstheme="majorHAnsi"/>
          <w:i/>
          <w:iCs/>
          <w:position w:val="1"/>
          <w:lang w:val="en-GB"/>
        </w:rPr>
        <w:t>Kemija u industriji, 73</w:t>
      </w:r>
      <w:r w:rsidRPr="00812C34">
        <w:rPr>
          <w:rFonts w:asciiTheme="majorHAnsi" w:hAnsiTheme="majorHAnsi" w:cstheme="majorHAnsi"/>
          <w:position w:val="1"/>
          <w:lang w:val="en-GB"/>
        </w:rPr>
        <w:t xml:space="preserve"> (1-2), 1-6. </w:t>
      </w:r>
      <w:hyperlink r:id="rId6" w:history="1">
        <w:r w:rsidRPr="00812C34">
          <w:rPr>
            <w:rStyle w:val="Hyperlink"/>
            <w:rFonts w:asciiTheme="majorHAnsi" w:hAnsiTheme="majorHAnsi" w:cstheme="majorHAnsi"/>
            <w:position w:val="1"/>
            <w:lang w:val="en-GB"/>
          </w:rPr>
          <w:t>https://doi.org/10.15255/KUI.2023.018</w:t>
        </w:r>
      </w:hyperlink>
      <w:r w:rsidRPr="00812C34">
        <w:rPr>
          <w:rFonts w:asciiTheme="majorHAnsi" w:hAnsiTheme="majorHAnsi" w:cstheme="majorHAnsi"/>
          <w:position w:val="1"/>
          <w:lang w:val="en-GB"/>
        </w:rPr>
        <w:t xml:space="preserve"> </w:t>
      </w:r>
    </w:p>
    <w:p w14:paraId="3E916B8A" w14:textId="77777777" w:rsidR="007F7FE1" w:rsidRPr="00812C34" w:rsidRDefault="007F7FE1" w:rsidP="007F7FE1">
      <w:pPr>
        <w:pStyle w:val="ListParagraph"/>
        <w:tabs>
          <w:tab w:val="left" w:pos="1001"/>
        </w:tabs>
        <w:spacing w:line="250" w:lineRule="auto"/>
        <w:ind w:right="323"/>
        <w:rPr>
          <w:rFonts w:asciiTheme="majorHAnsi" w:hAnsiTheme="majorHAnsi" w:cstheme="majorHAnsi"/>
          <w:position w:val="1"/>
        </w:rPr>
      </w:pPr>
    </w:p>
    <w:p w14:paraId="6BD7682B" w14:textId="77777777" w:rsidR="007F7FE1" w:rsidRPr="00812C34" w:rsidRDefault="007F7FE1" w:rsidP="007F7FE1">
      <w:pPr>
        <w:pStyle w:val="ListParagraph"/>
        <w:widowControl w:val="0"/>
        <w:numPr>
          <w:ilvl w:val="0"/>
          <w:numId w:val="3"/>
        </w:numPr>
        <w:tabs>
          <w:tab w:val="left" w:pos="1001"/>
        </w:tabs>
        <w:autoSpaceDE w:val="0"/>
        <w:autoSpaceDN w:val="0"/>
        <w:spacing w:after="0" w:line="250" w:lineRule="auto"/>
        <w:ind w:right="323"/>
        <w:rPr>
          <w:rFonts w:asciiTheme="majorHAnsi" w:hAnsiTheme="majorHAnsi" w:cstheme="majorHAnsi"/>
          <w:position w:val="1"/>
        </w:rPr>
      </w:pPr>
      <w:r w:rsidRPr="00812C34">
        <w:rPr>
          <w:rFonts w:asciiTheme="majorHAnsi" w:hAnsiTheme="majorHAnsi" w:cstheme="majorHAnsi"/>
          <w:position w:val="1"/>
        </w:rPr>
        <w:t xml:space="preserve">Bečić E., Salihović M., Tüzün B., Omeragić E., Imamović B., </w:t>
      </w:r>
      <w:r w:rsidRPr="00812C34">
        <w:rPr>
          <w:rFonts w:asciiTheme="majorHAnsi" w:hAnsiTheme="majorHAnsi" w:cstheme="majorHAnsi"/>
          <w:b/>
          <w:bCs/>
          <w:position w:val="1"/>
          <w:u w:val="single"/>
        </w:rPr>
        <w:t>Dedić M.</w:t>
      </w:r>
      <w:r w:rsidRPr="00812C34">
        <w:rPr>
          <w:rFonts w:asciiTheme="majorHAnsi" w:hAnsiTheme="majorHAnsi" w:cstheme="majorHAnsi"/>
          <w:position w:val="1"/>
        </w:rPr>
        <w:t xml:space="preserve">, Sunčica Roca S., Špirtović-Halilović S. Comparative study of experimental and DFT calculations for 3-cinnamoyl 4-hydroxycoumarin derivatives. Technol Health Care [Internet]. 2024;1–12. Available from: </w:t>
      </w:r>
      <w:hyperlink r:id="rId7" w:history="1">
        <w:r w:rsidRPr="00812C34">
          <w:rPr>
            <w:rStyle w:val="Hyperlink"/>
            <w:rFonts w:asciiTheme="majorHAnsi" w:hAnsiTheme="majorHAnsi" w:cstheme="majorHAnsi"/>
            <w:position w:val="1"/>
          </w:rPr>
          <w:t>http://dx.doi.org/10.3233/thc-231798</w:t>
        </w:r>
      </w:hyperlink>
      <w:r w:rsidRPr="00812C34">
        <w:rPr>
          <w:rFonts w:asciiTheme="majorHAnsi" w:hAnsiTheme="majorHAnsi" w:cstheme="majorHAnsi"/>
          <w:position w:val="1"/>
        </w:rPr>
        <w:t xml:space="preserve"> </w:t>
      </w:r>
    </w:p>
    <w:p w14:paraId="41C42E0F" w14:textId="77777777" w:rsidR="007F7FE1" w:rsidRPr="00812C34" w:rsidRDefault="007F7FE1" w:rsidP="007F7FE1">
      <w:pPr>
        <w:pStyle w:val="ListParagraph"/>
        <w:tabs>
          <w:tab w:val="left" w:pos="1001"/>
        </w:tabs>
        <w:spacing w:line="250" w:lineRule="auto"/>
        <w:ind w:right="323"/>
        <w:rPr>
          <w:rFonts w:asciiTheme="majorHAnsi" w:hAnsiTheme="majorHAnsi" w:cstheme="majorHAnsi"/>
          <w:position w:val="1"/>
        </w:rPr>
      </w:pPr>
    </w:p>
    <w:p w14:paraId="1E27D9C8" w14:textId="77777777" w:rsidR="007F7FE1" w:rsidRPr="00812C34" w:rsidRDefault="007F7FE1" w:rsidP="007F7FE1">
      <w:pPr>
        <w:pStyle w:val="ListParagraph"/>
        <w:widowControl w:val="0"/>
        <w:numPr>
          <w:ilvl w:val="0"/>
          <w:numId w:val="3"/>
        </w:numPr>
        <w:tabs>
          <w:tab w:val="left" w:pos="1001"/>
        </w:tabs>
        <w:autoSpaceDE w:val="0"/>
        <w:autoSpaceDN w:val="0"/>
        <w:spacing w:after="0" w:line="250" w:lineRule="auto"/>
        <w:ind w:right="323"/>
        <w:rPr>
          <w:rFonts w:asciiTheme="majorHAnsi" w:hAnsiTheme="majorHAnsi" w:cstheme="majorHAnsi"/>
          <w:position w:val="1"/>
        </w:rPr>
      </w:pPr>
      <w:r w:rsidRPr="00812C34">
        <w:rPr>
          <w:rFonts w:asciiTheme="majorHAnsi" w:hAnsiTheme="majorHAnsi" w:cstheme="majorHAnsi"/>
          <w:b/>
          <w:bCs/>
          <w:position w:val="1"/>
          <w:u w:val="single"/>
        </w:rPr>
        <w:t>Dedić M</w:t>
      </w:r>
      <w:r w:rsidRPr="00812C34">
        <w:rPr>
          <w:rFonts w:asciiTheme="majorHAnsi" w:hAnsiTheme="majorHAnsi" w:cstheme="majorHAnsi"/>
          <w:position w:val="1"/>
        </w:rPr>
        <w:t xml:space="preserve">., Omeragić E., Imamović B., Bilajac E., Mahmutović L., Glamočlija U., Bečić E. HPLC method for the determination of thymoquinone in growth cell medium. Technol Health Care [Internet]. 2024;1–14. Available from: </w:t>
      </w:r>
      <w:r w:rsidRPr="00812C34">
        <w:rPr>
          <w:rStyle w:val="Hyperlink"/>
          <w:rFonts w:asciiTheme="majorHAnsi" w:hAnsiTheme="majorHAnsi" w:cstheme="majorHAnsi"/>
        </w:rPr>
        <w:t>http://dx.doi.org/10.3233/thc-231432</w:t>
      </w:r>
    </w:p>
    <w:p w14:paraId="79DA8972" w14:textId="77777777" w:rsidR="007F7FE1" w:rsidRPr="00812C34" w:rsidRDefault="007F7FE1" w:rsidP="007F7FE1">
      <w:pPr>
        <w:tabs>
          <w:tab w:val="left" w:pos="1001"/>
        </w:tabs>
        <w:spacing w:line="250" w:lineRule="auto"/>
        <w:ind w:right="323"/>
        <w:rPr>
          <w:rFonts w:asciiTheme="majorHAnsi" w:hAnsiTheme="majorHAnsi" w:cstheme="majorHAnsi"/>
          <w:position w:val="1"/>
        </w:rPr>
      </w:pPr>
    </w:p>
    <w:p w14:paraId="4FD7D8AB" w14:textId="77777777" w:rsidR="007F7FE1" w:rsidRPr="00812C34" w:rsidRDefault="007F7FE1" w:rsidP="007F7FE1">
      <w:pPr>
        <w:pStyle w:val="ListParagraph"/>
        <w:widowControl w:val="0"/>
        <w:numPr>
          <w:ilvl w:val="0"/>
          <w:numId w:val="3"/>
        </w:numPr>
        <w:tabs>
          <w:tab w:val="left" w:pos="1001"/>
        </w:tabs>
        <w:autoSpaceDE w:val="0"/>
        <w:autoSpaceDN w:val="0"/>
        <w:spacing w:after="0" w:line="250" w:lineRule="auto"/>
        <w:ind w:right="323"/>
        <w:rPr>
          <w:rFonts w:asciiTheme="majorHAnsi" w:hAnsiTheme="majorHAnsi" w:cstheme="majorHAnsi"/>
          <w:position w:val="1"/>
        </w:rPr>
      </w:pPr>
      <w:r w:rsidRPr="00812C34">
        <w:rPr>
          <w:rFonts w:asciiTheme="majorHAnsi" w:hAnsiTheme="majorHAnsi" w:cstheme="majorHAnsi"/>
          <w:position w:val="1"/>
        </w:rPr>
        <w:t xml:space="preserve">Elezović A., Omeragić E., Badnjević A., </w:t>
      </w:r>
      <w:r w:rsidRPr="00812C34">
        <w:rPr>
          <w:rFonts w:asciiTheme="majorHAnsi" w:hAnsiTheme="majorHAnsi" w:cstheme="majorHAnsi"/>
          <w:b/>
          <w:bCs/>
          <w:position w:val="1"/>
          <w:u w:val="single"/>
        </w:rPr>
        <w:t>Dedić M.</w:t>
      </w:r>
      <w:r w:rsidRPr="00812C34">
        <w:rPr>
          <w:rFonts w:asciiTheme="majorHAnsi" w:hAnsiTheme="majorHAnsi" w:cstheme="majorHAnsi"/>
          <w:position w:val="1"/>
        </w:rPr>
        <w:t xml:space="preserve">, Bošković D., Nikolić A., Bečić F., Bego T. </w:t>
      </w:r>
      <w:hyperlink r:id="rId8" w:history="1">
        <w:r w:rsidRPr="00812C34">
          <w:rPr>
            <w:rFonts w:asciiTheme="majorHAnsi" w:hAnsiTheme="majorHAnsi" w:cstheme="majorHAnsi"/>
            <w:position w:val="1"/>
          </w:rPr>
          <w:t>Raising the Quality, Digitalizatio and Modernization of Higher Education through the Implementation of the ERASMUS+ Project-IQPHARM</w:t>
        </w:r>
      </w:hyperlink>
      <w:r w:rsidRPr="00812C34">
        <w:rPr>
          <w:rFonts w:asciiTheme="majorHAnsi" w:hAnsiTheme="majorHAnsi" w:cstheme="majorHAnsi"/>
          <w:position w:val="1"/>
        </w:rPr>
        <w:t>. Pregled: časopis za društvena pitanja/ Periodical for social issues, 269-287, 2023.</w:t>
      </w:r>
    </w:p>
    <w:p w14:paraId="269FF482" w14:textId="77777777" w:rsidR="007F7FE1" w:rsidRPr="00812C34" w:rsidRDefault="007F7FE1" w:rsidP="007F7FE1">
      <w:pPr>
        <w:pStyle w:val="ListParagraph"/>
        <w:tabs>
          <w:tab w:val="left" w:pos="1001"/>
        </w:tabs>
        <w:spacing w:line="250" w:lineRule="auto"/>
        <w:ind w:right="323"/>
        <w:rPr>
          <w:rFonts w:asciiTheme="majorHAnsi" w:hAnsiTheme="majorHAnsi" w:cstheme="majorHAnsi"/>
          <w:position w:val="1"/>
        </w:rPr>
      </w:pPr>
    </w:p>
    <w:p w14:paraId="6173F7A4" w14:textId="77777777" w:rsidR="007F7FE1" w:rsidRPr="00812C34" w:rsidRDefault="007F7FE1" w:rsidP="007F7FE1">
      <w:pPr>
        <w:pStyle w:val="ListParagraph"/>
        <w:widowControl w:val="0"/>
        <w:numPr>
          <w:ilvl w:val="0"/>
          <w:numId w:val="3"/>
        </w:numPr>
        <w:tabs>
          <w:tab w:val="left" w:pos="1001"/>
        </w:tabs>
        <w:autoSpaceDE w:val="0"/>
        <w:autoSpaceDN w:val="0"/>
        <w:spacing w:after="0" w:line="250" w:lineRule="auto"/>
        <w:ind w:right="323"/>
        <w:rPr>
          <w:rFonts w:asciiTheme="majorHAnsi" w:hAnsiTheme="majorHAnsi" w:cstheme="majorHAnsi"/>
          <w:position w:val="1"/>
        </w:rPr>
      </w:pPr>
      <w:r w:rsidRPr="00812C34">
        <w:rPr>
          <w:rFonts w:asciiTheme="majorHAnsi" w:hAnsiTheme="majorHAnsi" w:cstheme="majorHAnsi"/>
          <w:position w:val="1"/>
        </w:rPr>
        <w:t xml:space="preserve">Alisa, S., Sara, D., Neira, C., Selena, H., Sabina, A., Nur, M. E., Mirsada, S., Mirha, P., Elma, O., </w:t>
      </w:r>
      <w:r w:rsidRPr="00812C34">
        <w:rPr>
          <w:rFonts w:asciiTheme="majorHAnsi" w:hAnsiTheme="majorHAnsi" w:cstheme="majorHAnsi"/>
          <w:b/>
          <w:bCs/>
          <w:position w:val="1"/>
          <w:u w:val="single"/>
        </w:rPr>
        <w:t>Mirza, D</w:t>
      </w:r>
      <w:r w:rsidRPr="00812C34">
        <w:rPr>
          <w:rFonts w:asciiTheme="majorHAnsi" w:hAnsiTheme="majorHAnsi" w:cstheme="majorHAnsi"/>
          <w:position w:val="1"/>
        </w:rPr>
        <w:t xml:space="preserve">. (2023). Comparative Analysis of Chemical Composition and Antimicrobial Activity of Watermelon Seed Extracts (Citrullus Lanatus). In PONTE International Scientific Researchs Journal (Vol. 79, Issue 3). Ponte Academic Journal. </w:t>
      </w:r>
      <w:hyperlink r:id="rId9" w:history="1">
        <w:r w:rsidRPr="00812C34">
          <w:rPr>
            <w:rStyle w:val="Hyperlink"/>
            <w:rFonts w:asciiTheme="majorHAnsi" w:hAnsiTheme="majorHAnsi" w:cstheme="majorHAnsi"/>
          </w:rPr>
          <w:t>https://doi.org/10.21506/j.ponte.2023.3.4</w:t>
        </w:r>
      </w:hyperlink>
    </w:p>
    <w:p w14:paraId="38F0354E" w14:textId="77777777" w:rsidR="007F7FE1" w:rsidRPr="00812C34" w:rsidRDefault="007F7FE1" w:rsidP="007F7FE1">
      <w:pPr>
        <w:pStyle w:val="ListParagraph"/>
        <w:tabs>
          <w:tab w:val="left" w:pos="1001"/>
        </w:tabs>
        <w:spacing w:line="250" w:lineRule="auto"/>
        <w:ind w:right="323"/>
        <w:rPr>
          <w:rFonts w:asciiTheme="majorHAnsi" w:hAnsiTheme="majorHAnsi" w:cstheme="majorHAnsi"/>
          <w:position w:val="1"/>
        </w:rPr>
      </w:pPr>
    </w:p>
    <w:p w14:paraId="7239CC4C" w14:textId="77777777" w:rsidR="007F7FE1" w:rsidRPr="00812C34" w:rsidRDefault="007F7FE1" w:rsidP="007F7FE1">
      <w:pPr>
        <w:pStyle w:val="Default"/>
        <w:numPr>
          <w:ilvl w:val="0"/>
          <w:numId w:val="3"/>
        </w:numPr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</w:pPr>
      <w:r w:rsidRPr="00812C34">
        <w:rPr>
          <w:rFonts w:asciiTheme="majorHAnsi" w:eastAsia="Microsoft Sans Serif" w:hAnsiTheme="majorHAnsi" w:cstheme="majorHAnsi"/>
          <w:color w:val="auto"/>
          <w:position w:val="1"/>
          <w:sz w:val="22"/>
          <w:szCs w:val="22"/>
          <w:lang w:eastAsia="en-US"/>
        </w:rPr>
        <w:t xml:space="preserve">Jordamović N., Pehlivanović B., Nikšić H., Gušić I., Korić E., </w:t>
      </w:r>
      <w:r w:rsidRPr="00812C34">
        <w:rPr>
          <w:rFonts w:asciiTheme="majorHAnsi" w:eastAsia="Microsoft Sans Serif" w:hAnsiTheme="majorHAnsi" w:cstheme="majorHAnsi"/>
          <w:b/>
          <w:bCs/>
          <w:color w:val="auto"/>
          <w:position w:val="1"/>
          <w:sz w:val="22"/>
          <w:szCs w:val="22"/>
          <w:u w:val="single"/>
          <w:lang w:eastAsia="en-US"/>
        </w:rPr>
        <w:t>Dedić M.</w:t>
      </w:r>
      <w:r w:rsidRPr="00812C34">
        <w:rPr>
          <w:rFonts w:asciiTheme="majorHAnsi" w:eastAsia="Microsoft Sans Serif" w:hAnsiTheme="majorHAnsi" w:cstheme="majorHAnsi"/>
          <w:color w:val="auto"/>
          <w:position w:val="1"/>
          <w:sz w:val="22"/>
          <w:szCs w:val="22"/>
          <w:lang w:eastAsia="en-US"/>
        </w:rPr>
        <w:t>, Tuna B., Bečić F., Durić K. Anti-proliferative and anti-inflammatory activity of triterpene extracts from plant species belonging to Lamiaceae family. Bol Latinoam Caribe Plant Med Aromat, 2023. 22 (6): 864 - 878.</w:t>
      </w:r>
      <w:r w:rsidRPr="00812C34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 </w:t>
      </w:r>
      <w:r w:rsidRPr="00812C34">
        <w:rPr>
          <w:rStyle w:val="Hyperlink"/>
          <w:rFonts w:asciiTheme="majorHAnsi" w:eastAsia="Microsoft Sans Serif" w:hAnsiTheme="majorHAnsi" w:cstheme="majorHAnsi"/>
          <w:sz w:val="22"/>
          <w:szCs w:val="22"/>
          <w:lang w:eastAsia="en-US"/>
        </w:rPr>
        <w:t>https://doi.org/10.37360/blacpma.23.22.6.58.</w:t>
      </w:r>
    </w:p>
    <w:p w14:paraId="2E5F6D15" w14:textId="77777777" w:rsidR="007F7FE1" w:rsidRPr="00812C34" w:rsidRDefault="007F7FE1" w:rsidP="007F7FE1">
      <w:pPr>
        <w:pStyle w:val="ListParagraph"/>
        <w:tabs>
          <w:tab w:val="left" w:pos="1001"/>
        </w:tabs>
        <w:spacing w:line="250" w:lineRule="auto"/>
        <w:ind w:right="323"/>
        <w:rPr>
          <w:rFonts w:asciiTheme="majorHAnsi" w:hAnsiTheme="majorHAnsi" w:cstheme="majorHAnsi"/>
          <w:position w:val="1"/>
        </w:rPr>
      </w:pPr>
    </w:p>
    <w:p w14:paraId="1DE880A5" w14:textId="77777777" w:rsidR="007F7FE1" w:rsidRPr="00812C34" w:rsidRDefault="007F7FE1" w:rsidP="007F7FE1">
      <w:pPr>
        <w:pStyle w:val="ListParagraph"/>
        <w:widowControl w:val="0"/>
        <w:numPr>
          <w:ilvl w:val="0"/>
          <w:numId w:val="3"/>
        </w:numPr>
        <w:tabs>
          <w:tab w:val="left" w:pos="1001"/>
        </w:tabs>
        <w:autoSpaceDE w:val="0"/>
        <w:autoSpaceDN w:val="0"/>
        <w:spacing w:after="0" w:line="250" w:lineRule="auto"/>
        <w:ind w:right="323"/>
        <w:rPr>
          <w:rFonts w:asciiTheme="majorHAnsi" w:hAnsiTheme="majorHAnsi" w:cstheme="majorHAnsi"/>
          <w:position w:val="1"/>
        </w:rPr>
      </w:pPr>
      <w:r w:rsidRPr="00812C34">
        <w:rPr>
          <w:rFonts w:asciiTheme="majorHAnsi" w:hAnsiTheme="majorHAnsi" w:cstheme="majorHAnsi"/>
          <w:position w:val="1"/>
        </w:rPr>
        <w:t xml:space="preserve">Bečić E., </w:t>
      </w:r>
      <w:r w:rsidRPr="00812C34">
        <w:rPr>
          <w:rFonts w:asciiTheme="majorHAnsi" w:hAnsiTheme="majorHAnsi" w:cstheme="majorHAnsi"/>
          <w:b/>
          <w:bCs/>
          <w:position w:val="1"/>
          <w:u w:val="single"/>
        </w:rPr>
        <w:t>Dedić M</w:t>
      </w:r>
      <w:r w:rsidRPr="00812C34">
        <w:rPr>
          <w:rFonts w:asciiTheme="majorHAnsi" w:hAnsiTheme="majorHAnsi" w:cstheme="majorHAnsi"/>
          <w:position w:val="1"/>
          <w:u w:val="single"/>
        </w:rPr>
        <w:t>.</w:t>
      </w:r>
      <w:r w:rsidRPr="00812C34">
        <w:rPr>
          <w:rFonts w:asciiTheme="majorHAnsi" w:hAnsiTheme="majorHAnsi" w:cstheme="majorHAnsi"/>
          <w:position w:val="1"/>
        </w:rPr>
        <w:t>, Imamović B., Omeragić E. Optimization and Validation of Europium- Sensitized Fluorescence Method for Determination of Tetracycline Antibiotics in Water from Fish Farms. Bulletin of the Chemists and Technologists of Bosnia and Herzegovina, 2022. 59: pp. 11-16.</w:t>
      </w:r>
    </w:p>
    <w:p w14:paraId="7B9BEE63" w14:textId="77777777" w:rsidR="007F7FE1" w:rsidRPr="00812C34" w:rsidRDefault="007F7FE1" w:rsidP="007F7FE1">
      <w:pPr>
        <w:pStyle w:val="ListParagraph"/>
        <w:tabs>
          <w:tab w:val="left" w:pos="1001"/>
        </w:tabs>
        <w:spacing w:line="250" w:lineRule="auto"/>
        <w:ind w:left="566" w:right="323"/>
        <w:rPr>
          <w:rFonts w:asciiTheme="majorHAnsi" w:hAnsiTheme="majorHAnsi" w:cstheme="majorHAnsi"/>
          <w:position w:val="1"/>
        </w:rPr>
      </w:pPr>
    </w:p>
    <w:p w14:paraId="281551DD" w14:textId="77777777" w:rsidR="007F7FE1" w:rsidRPr="00812C34" w:rsidRDefault="007F7FE1" w:rsidP="007F7FE1">
      <w:pPr>
        <w:pStyle w:val="ListParagraph"/>
        <w:widowControl w:val="0"/>
        <w:numPr>
          <w:ilvl w:val="0"/>
          <w:numId w:val="3"/>
        </w:numPr>
        <w:tabs>
          <w:tab w:val="left" w:pos="1001"/>
        </w:tabs>
        <w:autoSpaceDE w:val="0"/>
        <w:autoSpaceDN w:val="0"/>
        <w:spacing w:after="0" w:line="250" w:lineRule="auto"/>
        <w:ind w:right="323"/>
        <w:rPr>
          <w:rFonts w:asciiTheme="majorHAnsi" w:hAnsiTheme="majorHAnsi" w:cstheme="majorHAnsi"/>
          <w:position w:val="1"/>
        </w:rPr>
      </w:pPr>
      <w:r w:rsidRPr="00812C34">
        <w:rPr>
          <w:rFonts w:asciiTheme="majorHAnsi" w:hAnsiTheme="majorHAnsi" w:cstheme="majorHAnsi"/>
          <w:position w:val="1"/>
        </w:rPr>
        <w:t xml:space="preserve">Omeragic, E., </w:t>
      </w:r>
      <w:r w:rsidRPr="00812C34">
        <w:rPr>
          <w:rFonts w:asciiTheme="majorHAnsi" w:hAnsiTheme="majorHAnsi" w:cstheme="majorHAnsi"/>
          <w:b/>
          <w:bCs/>
          <w:position w:val="1"/>
          <w:u w:val="single"/>
        </w:rPr>
        <w:t>Dedic, M.</w:t>
      </w:r>
      <w:r w:rsidRPr="00812C34">
        <w:rPr>
          <w:rFonts w:asciiTheme="majorHAnsi" w:hAnsiTheme="majorHAnsi" w:cstheme="majorHAnsi"/>
          <w:position w:val="1"/>
        </w:rPr>
        <w:t xml:space="preserve">, Elezovic, E., Bečić, E., Imamovic, B., Kladar, N., Niksic, H. Application of direct peptide reactivity assay in skin sensitization potential assessment of essential oils. Sci Rep 12, 7470 (2022). </w:t>
      </w:r>
      <w:hyperlink r:id="rId10" w:history="1">
        <w:r w:rsidRPr="00812C34">
          <w:rPr>
            <w:rStyle w:val="Hyperlink"/>
            <w:rFonts w:asciiTheme="majorHAnsi" w:hAnsiTheme="majorHAnsi" w:cstheme="majorHAnsi"/>
          </w:rPr>
          <w:t>https://doi.org/10.1038/s41598-022-11171-2</w:t>
        </w:r>
      </w:hyperlink>
    </w:p>
    <w:p w14:paraId="54F2558A" w14:textId="77777777" w:rsidR="007F7FE1" w:rsidRPr="00812C34" w:rsidRDefault="007F7FE1" w:rsidP="007F7FE1">
      <w:pPr>
        <w:tabs>
          <w:tab w:val="left" w:pos="1001"/>
        </w:tabs>
        <w:spacing w:line="250" w:lineRule="auto"/>
        <w:ind w:left="566" w:right="323"/>
        <w:rPr>
          <w:rFonts w:asciiTheme="majorHAnsi" w:hAnsiTheme="majorHAnsi" w:cstheme="majorHAnsi"/>
          <w:position w:val="1"/>
        </w:rPr>
      </w:pPr>
    </w:p>
    <w:p w14:paraId="6FC86932" w14:textId="77777777" w:rsidR="007F7FE1" w:rsidRPr="00812C34" w:rsidRDefault="007F7FE1" w:rsidP="007F7FE1">
      <w:pPr>
        <w:pStyle w:val="ListParagraph"/>
        <w:widowControl w:val="0"/>
        <w:numPr>
          <w:ilvl w:val="0"/>
          <w:numId w:val="3"/>
        </w:numPr>
        <w:tabs>
          <w:tab w:val="left" w:pos="1001"/>
        </w:tabs>
        <w:autoSpaceDE w:val="0"/>
        <w:autoSpaceDN w:val="0"/>
        <w:spacing w:after="0" w:line="250" w:lineRule="auto"/>
        <w:ind w:right="323"/>
        <w:rPr>
          <w:rStyle w:val="Hyperlink"/>
          <w:rFonts w:asciiTheme="majorHAnsi" w:hAnsiTheme="majorHAnsi" w:cstheme="majorHAnsi"/>
        </w:rPr>
      </w:pPr>
      <w:r w:rsidRPr="00812C34">
        <w:rPr>
          <w:rFonts w:asciiTheme="majorHAnsi" w:hAnsiTheme="majorHAnsi" w:cstheme="majorHAnsi"/>
          <w:position w:val="1"/>
        </w:rPr>
        <w:t xml:space="preserve">Imamović B., Trebše P., Omeragić E., Bečić E., Pečet A., </w:t>
      </w:r>
      <w:r w:rsidRPr="00812C34">
        <w:rPr>
          <w:rFonts w:asciiTheme="majorHAnsi" w:hAnsiTheme="majorHAnsi" w:cstheme="majorHAnsi"/>
          <w:b/>
          <w:bCs/>
          <w:position w:val="1"/>
          <w:u w:val="single"/>
        </w:rPr>
        <w:t>Dedić M.</w:t>
      </w:r>
      <w:r w:rsidRPr="00812C34">
        <w:rPr>
          <w:rFonts w:asciiTheme="majorHAnsi" w:hAnsiTheme="majorHAnsi" w:cstheme="majorHAnsi"/>
          <w:position w:val="1"/>
        </w:rPr>
        <w:t xml:space="preserve"> Stability and Removal of Benzophenone-Type UV Filters from Water Matrices by Advanced Oxidation Processes. Molecules 2022, 27, 1874. </w:t>
      </w:r>
      <w:hyperlink r:id="rId11" w:history="1">
        <w:r w:rsidRPr="00812C34">
          <w:rPr>
            <w:rStyle w:val="Hyperlink"/>
            <w:rFonts w:asciiTheme="majorHAnsi" w:hAnsiTheme="majorHAnsi" w:cstheme="majorHAnsi"/>
          </w:rPr>
          <w:t>https://doi.org/10.3390/molecules27061874</w:t>
        </w:r>
      </w:hyperlink>
    </w:p>
    <w:p w14:paraId="767889BD" w14:textId="77777777" w:rsidR="007F7FE1" w:rsidRPr="00812C34" w:rsidRDefault="007F7FE1" w:rsidP="007F7FE1">
      <w:pPr>
        <w:rPr>
          <w:rFonts w:asciiTheme="majorHAnsi" w:hAnsiTheme="majorHAnsi" w:cstheme="majorHAnsi"/>
          <w:b/>
        </w:rPr>
      </w:pPr>
    </w:p>
    <w:p w14:paraId="343B3D51" w14:textId="77777777" w:rsidR="008D105F" w:rsidRDefault="008D105F" w:rsidP="007F7FE1">
      <w:pPr>
        <w:ind w:left="720"/>
      </w:pPr>
    </w:p>
    <w:sectPr w:rsidR="008D105F" w:rsidSect="007F7FE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A4D0E"/>
    <w:multiLevelType w:val="multilevel"/>
    <w:tmpl w:val="92E044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DE5191"/>
    <w:multiLevelType w:val="hybridMultilevel"/>
    <w:tmpl w:val="C8782ED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11091"/>
    <w:multiLevelType w:val="multilevel"/>
    <w:tmpl w:val="3042A8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B6572F"/>
    <w:multiLevelType w:val="multilevel"/>
    <w:tmpl w:val="BC30ED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3358329">
    <w:abstractNumId w:val="3"/>
  </w:num>
  <w:num w:numId="2" w16cid:durableId="1867863482">
    <w:abstractNumId w:val="0"/>
  </w:num>
  <w:num w:numId="3" w16cid:durableId="1182624267">
    <w:abstractNumId w:val="2"/>
  </w:num>
  <w:num w:numId="4" w16cid:durableId="82550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E1"/>
    <w:rsid w:val="00091EAB"/>
    <w:rsid w:val="002474A4"/>
    <w:rsid w:val="0034367F"/>
    <w:rsid w:val="007F7FE1"/>
    <w:rsid w:val="008D105F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0469"/>
  <w15:chartTrackingRefBased/>
  <w15:docId w15:val="{56991006-823A-4D7F-9E5B-23F1D602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FE1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bs-Latn-BA"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F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F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F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F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F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F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FE1"/>
    <w:rPr>
      <w:b/>
      <w:bCs/>
      <w:smallCaps/>
      <w:color w:val="2F5496" w:themeColor="accent1" w:themeShade="BF"/>
      <w:spacing w:val="5"/>
    </w:rPr>
  </w:style>
  <w:style w:type="paragraph" w:customStyle="1" w:styleId="ECVSectionDetails">
    <w:name w:val="_ECV_SectionDetails"/>
    <w:basedOn w:val="Normal"/>
    <w:rsid w:val="007F7FE1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hi-IN" w:bidi="hi-IN"/>
    </w:rPr>
  </w:style>
  <w:style w:type="character" w:styleId="Hyperlink">
    <w:name w:val="Hyperlink"/>
    <w:uiPriority w:val="99"/>
    <w:rsid w:val="007F7FE1"/>
    <w:rPr>
      <w:color w:val="000080"/>
      <w:u w:val="single"/>
    </w:rPr>
  </w:style>
  <w:style w:type="paragraph" w:customStyle="1" w:styleId="Default">
    <w:name w:val="Default"/>
    <w:rsid w:val="007F7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scholar?oi=bibs&amp;cluster=15300754177027599198&amp;btnI=1&amp;hl=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x.doi.org/10.3233/thc-2317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255/KUI.2023.018" TargetMode="External"/><Relationship Id="rId11" Type="http://schemas.openxmlformats.org/officeDocument/2006/relationships/hyperlink" Target="https://doi.org/10.3390/molecules27061874" TargetMode="External"/><Relationship Id="rId5" Type="http://schemas.openxmlformats.org/officeDocument/2006/relationships/hyperlink" Target="https://doi.org/10.5937/arhfarm74-49552" TargetMode="External"/><Relationship Id="rId10" Type="http://schemas.openxmlformats.org/officeDocument/2006/relationships/hyperlink" Target="https://doi.org/10.1038/s41598-022-11171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1506/j.ponte.2023.3.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1112</Words>
  <Characters>6341</Characters>
  <Application>Microsoft Office Word</Application>
  <DocSecurity>0</DocSecurity>
  <Lines>52</Lines>
  <Paragraphs>14</Paragraphs>
  <ScaleCrop>false</ScaleCrop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2025-11-03T08:56:00Z</dcterms:created>
  <dcterms:modified xsi:type="dcterms:W3CDTF">2025-11-03T08:57:00Z</dcterms:modified>
</cp:coreProperties>
</file>